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D44" w:rsidRDefault="00A40D44" w:rsidP="00A40D44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Załącznik nr 1 do Uchwały sanującej nr …../2013</w:t>
      </w:r>
    </w:p>
    <w:p w:rsidR="00A40D44" w:rsidRDefault="00A40D44" w:rsidP="00A40D44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w sprawie zatwierdzenia sprawozdania Zarządu</w:t>
      </w:r>
    </w:p>
    <w:p w:rsidR="00A40D44" w:rsidRDefault="00A40D44" w:rsidP="00A40D44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 Zebranie Członków</w:t>
      </w:r>
    </w:p>
    <w:p w:rsidR="00A40D44" w:rsidRDefault="00A40D44" w:rsidP="00A40D44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A40D44" w:rsidRDefault="00A40D44" w:rsidP="00A40D44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5F26B0" w:rsidRDefault="005F26B0" w:rsidP="005F26B0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bookmarkStart w:id="0" w:name="_GoBack"/>
      <w:bookmarkEnd w:id="0"/>
      <w:r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A40D44" w:rsidRPr="00A40D44" w:rsidRDefault="00A40D44" w:rsidP="00A40D44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</w:p>
    <w:p w:rsidR="007B639C" w:rsidRDefault="007B639C" w:rsidP="005F26B0">
      <w:pPr>
        <w:jc w:val="right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rPr>
          <w:sz w:val="28"/>
          <w:szCs w:val="28"/>
        </w:rPr>
        <w:t>Gryfino, dnia 18 marca 2011r.</w:t>
      </w:r>
    </w:p>
    <w:p w:rsidR="007B639C" w:rsidRDefault="007B639C" w:rsidP="007B639C">
      <w:pPr>
        <w:rPr>
          <w:sz w:val="28"/>
          <w:szCs w:val="28"/>
        </w:rPr>
      </w:pPr>
    </w:p>
    <w:p w:rsidR="007B639C" w:rsidRPr="00374756" w:rsidRDefault="007B639C" w:rsidP="005F26B0">
      <w:pPr>
        <w:jc w:val="center"/>
        <w:rPr>
          <w:b/>
          <w:sz w:val="28"/>
          <w:szCs w:val="28"/>
        </w:rPr>
      </w:pPr>
      <w:r w:rsidRPr="00DD26E5">
        <w:rPr>
          <w:b/>
          <w:sz w:val="32"/>
          <w:szCs w:val="32"/>
        </w:rPr>
        <w:t xml:space="preserve">Sprawozdanie </w:t>
      </w:r>
      <w:r>
        <w:rPr>
          <w:b/>
          <w:sz w:val="32"/>
          <w:szCs w:val="32"/>
        </w:rPr>
        <w:t>Zarządu</w:t>
      </w:r>
      <w:r w:rsidRPr="00DD26E5">
        <w:rPr>
          <w:b/>
          <w:sz w:val="32"/>
          <w:szCs w:val="32"/>
        </w:rPr>
        <w:t xml:space="preserve">  Stowarzyszenia</w:t>
      </w:r>
    </w:p>
    <w:p w:rsidR="007B639C" w:rsidRDefault="007B639C" w:rsidP="005F26B0">
      <w:pPr>
        <w:jc w:val="center"/>
        <w:rPr>
          <w:b/>
          <w:sz w:val="32"/>
          <w:szCs w:val="32"/>
        </w:rPr>
      </w:pPr>
      <w:r w:rsidRPr="00DD26E5">
        <w:rPr>
          <w:b/>
          <w:sz w:val="32"/>
          <w:szCs w:val="32"/>
        </w:rPr>
        <w:t>„Dolnoodrzańska Inicjatywa Rozwoju Obszarów Wiejskich”</w:t>
      </w:r>
    </w:p>
    <w:p w:rsidR="00FA70F0" w:rsidRPr="00FA70F0" w:rsidRDefault="00FA70F0" w:rsidP="007B639C">
      <w:pPr>
        <w:rPr>
          <w:b/>
          <w:sz w:val="32"/>
          <w:szCs w:val="32"/>
          <w:u w:val="single"/>
        </w:rPr>
      </w:pPr>
    </w:p>
    <w:p w:rsidR="007B639C" w:rsidRPr="00FA70F0" w:rsidRDefault="00FA70F0" w:rsidP="005F26B0">
      <w:pPr>
        <w:pStyle w:val="Akapitzlist"/>
        <w:numPr>
          <w:ilvl w:val="0"/>
          <w:numId w:val="3"/>
        </w:numPr>
        <w:jc w:val="both"/>
        <w:rPr>
          <w:sz w:val="32"/>
          <w:szCs w:val="32"/>
          <w:u w:val="single"/>
        </w:rPr>
      </w:pPr>
      <w:r w:rsidRPr="00FA70F0">
        <w:rPr>
          <w:sz w:val="32"/>
          <w:szCs w:val="32"/>
          <w:u w:val="single"/>
        </w:rPr>
        <w:t>Sprawozdanie merytoryczne.</w:t>
      </w:r>
    </w:p>
    <w:p w:rsidR="007B639C" w:rsidRPr="005A7042" w:rsidRDefault="007B639C" w:rsidP="005F26B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Zarząd Stowarzyszenia Dolnoodrzańska Inicjatywa Rozwoju Obszarów Wiejskich został wybrany i ukonstytuował się </w:t>
      </w:r>
      <w:r w:rsidRPr="005A7042">
        <w:rPr>
          <w:sz w:val="24"/>
          <w:szCs w:val="24"/>
        </w:rPr>
        <w:t xml:space="preserve"> podczas Walnego Zebrania Członków w dniu 5 stycznia 2009 roku </w:t>
      </w:r>
      <w:r>
        <w:rPr>
          <w:sz w:val="24"/>
          <w:szCs w:val="24"/>
        </w:rPr>
        <w:t xml:space="preserve">w Baniach </w:t>
      </w:r>
      <w:r w:rsidRPr="005A7042">
        <w:rPr>
          <w:sz w:val="24"/>
          <w:szCs w:val="24"/>
        </w:rPr>
        <w:t>w składzie:</w:t>
      </w:r>
    </w:p>
    <w:p w:rsidR="007B639C" w:rsidRPr="005A7042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Jan Olech - prezes</w:t>
      </w:r>
      <w:r w:rsidRPr="005A7042">
        <w:rPr>
          <w:sz w:val="24"/>
          <w:szCs w:val="24"/>
        </w:rPr>
        <w:t>,</w:t>
      </w:r>
    </w:p>
    <w:p w:rsidR="007B639C" w:rsidRPr="005A7042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Teresa Sadowska - wiceprezes</w:t>
      </w:r>
      <w:r w:rsidRPr="005A7042">
        <w:rPr>
          <w:sz w:val="24"/>
          <w:szCs w:val="24"/>
        </w:rPr>
        <w:t>,</w:t>
      </w:r>
    </w:p>
    <w:p w:rsidR="007B639C" w:rsidRPr="005A7042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Piotr Waydyk - wiceprezes</w:t>
      </w:r>
      <w:r w:rsidRPr="005A7042">
        <w:rPr>
          <w:sz w:val="24"/>
          <w:szCs w:val="24"/>
        </w:rPr>
        <w:t>,</w:t>
      </w:r>
    </w:p>
    <w:p w:rsidR="007B639C" w:rsidRPr="005A7042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Tomasz Siergiej - skarbnik</w:t>
      </w:r>
      <w:r w:rsidRPr="005A7042">
        <w:rPr>
          <w:sz w:val="24"/>
          <w:szCs w:val="24"/>
        </w:rPr>
        <w:t>,</w:t>
      </w:r>
    </w:p>
    <w:p w:rsidR="007B639C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Piotr Wi</w:t>
      </w:r>
      <w:r w:rsidR="00534262">
        <w:rPr>
          <w:sz w:val="24"/>
          <w:szCs w:val="24"/>
        </w:rPr>
        <w:t>l</w:t>
      </w:r>
      <w:r>
        <w:rPr>
          <w:sz w:val="24"/>
          <w:szCs w:val="24"/>
        </w:rPr>
        <w:t>czyński – sekretarz,</w:t>
      </w:r>
    </w:p>
    <w:p w:rsidR="007B639C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Maria Fatyga – członek,</w:t>
      </w:r>
    </w:p>
    <w:p w:rsidR="007B639C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Barbara Rawecka – członek,</w:t>
      </w:r>
    </w:p>
    <w:p w:rsidR="007B639C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Piotr Paczkowski – członek,</w:t>
      </w:r>
    </w:p>
    <w:p w:rsidR="007B639C" w:rsidRPr="005A7042" w:rsidRDefault="007B639C" w:rsidP="005F26B0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Maciej Szabałkin – członek.</w:t>
      </w:r>
    </w:p>
    <w:p w:rsidR="00643E74" w:rsidRDefault="00EA6274" w:rsidP="005F26B0">
      <w:pPr>
        <w:pStyle w:val="Akapitzlist"/>
        <w:ind w:left="1065"/>
        <w:jc w:val="both"/>
        <w:rPr>
          <w:rFonts w:cs="Arial"/>
          <w:color w:val="00000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639C" w:rsidRPr="005A7042">
        <w:rPr>
          <w:sz w:val="24"/>
          <w:szCs w:val="24"/>
        </w:rPr>
        <w:t xml:space="preserve">W okresie od wyboru </w:t>
      </w:r>
      <w:r w:rsidR="007B639C">
        <w:rPr>
          <w:sz w:val="24"/>
          <w:szCs w:val="24"/>
        </w:rPr>
        <w:t>do czasu otwarcia siedziby w listopadzie 2009 roku Zarzą</w:t>
      </w:r>
      <w:r>
        <w:rPr>
          <w:sz w:val="24"/>
          <w:szCs w:val="24"/>
        </w:rPr>
        <w:t>d zbierał się w miarę</w:t>
      </w:r>
      <w:r w:rsidR="007B639C">
        <w:rPr>
          <w:sz w:val="24"/>
          <w:szCs w:val="24"/>
        </w:rPr>
        <w:t xml:space="preserve"> potrzeb w różnych miejscach kilkakrotnie. </w:t>
      </w:r>
      <w:r w:rsidR="00534262">
        <w:rPr>
          <w:sz w:val="24"/>
          <w:szCs w:val="24"/>
        </w:rPr>
        <w:t>Później, czyli od momentu otwarcia biura w dniu</w:t>
      </w:r>
      <w:r w:rsidR="007B639C">
        <w:rPr>
          <w:sz w:val="24"/>
          <w:szCs w:val="24"/>
        </w:rPr>
        <w:t xml:space="preserve"> 10 listopada 2009 roku</w:t>
      </w:r>
      <w:r w:rsidR="00534262">
        <w:rPr>
          <w:sz w:val="24"/>
          <w:szCs w:val="24"/>
        </w:rPr>
        <w:t>,</w:t>
      </w:r>
      <w:r w:rsidR="007B639C">
        <w:rPr>
          <w:sz w:val="24"/>
          <w:szCs w:val="24"/>
        </w:rPr>
        <w:t xml:space="preserve"> odnotowano 14 posiedzeń w siedzibie przy ul. Sprzymierzonych</w:t>
      </w:r>
      <w:r w:rsidR="005F26B0">
        <w:rPr>
          <w:sz w:val="24"/>
          <w:szCs w:val="24"/>
        </w:rPr>
        <w:t>. Tylko jedno nie odbyło się z </w:t>
      </w:r>
      <w:r w:rsidR="00FA70F0">
        <w:rPr>
          <w:sz w:val="24"/>
          <w:szCs w:val="24"/>
        </w:rPr>
        <w:t>powodu braku quorum. Od 10 grudnia 2010 roku Zarzą</w:t>
      </w:r>
      <w:r w:rsidR="00643E74">
        <w:rPr>
          <w:sz w:val="24"/>
          <w:szCs w:val="24"/>
        </w:rPr>
        <w:t>d pracował w </w:t>
      </w:r>
      <w:r w:rsidR="005F26B0">
        <w:rPr>
          <w:sz w:val="24"/>
          <w:szCs w:val="24"/>
        </w:rPr>
        <w:t>8 </w:t>
      </w:r>
      <w:r w:rsidR="00FA70F0">
        <w:rPr>
          <w:sz w:val="24"/>
          <w:szCs w:val="24"/>
        </w:rPr>
        <w:t xml:space="preserve">osobowym składzie. Wówczas z funkcji członka  Zarządu ustąpił wiceprezes Piotr Waydyk. Jednocześnie został on powołany na stanowisko Dyrektora Biura. Zaszła konieczność uzupełnienia składu Zarządu zgodnie z § 20 Statutu DIROW, który stanowi, </w:t>
      </w:r>
      <w:r w:rsidR="003D78D2">
        <w:rPr>
          <w:sz w:val="24"/>
          <w:szCs w:val="24"/>
        </w:rPr>
        <w:t>że w</w:t>
      </w:r>
      <w:r w:rsidR="00FA70F0" w:rsidRPr="00090D22">
        <w:rPr>
          <w:rFonts w:cs="Arial"/>
          <w:color w:val="000000"/>
        </w:rPr>
        <w:t xml:space="preserve"> przypadku ustąpienia, wykluczenia, śmierci lub utraty osobowości prawnej członka władz Stowarzyszenia w trakcie kadencji, skład osobowy tych władz jest uzupełniany spośród nie wybranych kandydatów wg kolejności uzyskanych głosów. Liczba dokooptowanych w ten sposób członków władz nie może przekroczyć 1/3 liczby członków  pochodzących z wyboru. Uzupełnienie składu władz przeprowadza się jeżeli </w:t>
      </w:r>
      <w:r w:rsidR="00FA70F0" w:rsidRPr="00090D22">
        <w:rPr>
          <w:rFonts w:cs="Arial"/>
          <w:color w:val="000000"/>
        </w:rPr>
        <w:lastRenderedPageBreak/>
        <w:t>do</w:t>
      </w:r>
      <w:r w:rsidR="005F26B0">
        <w:rPr>
          <w:rFonts w:cs="Arial"/>
          <w:color w:val="000000"/>
        </w:rPr>
        <w:t> </w:t>
      </w:r>
      <w:r w:rsidR="00FA70F0" w:rsidRPr="00090D22">
        <w:rPr>
          <w:rFonts w:cs="Arial"/>
          <w:color w:val="000000"/>
        </w:rPr>
        <w:t>końca kadencji pozostało więcej niż sześć miesięcy.</w:t>
      </w:r>
      <w:r w:rsidR="003D78D2">
        <w:rPr>
          <w:rFonts w:cs="Arial"/>
          <w:color w:val="000000"/>
        </w:rPr>
        <w:t xml:space="preserve"> </w:t>
      </w:r>
      <w:r w:rsidR="00534262">
        <w:rPr>
          <w:rFonts w:cs="Arial"/>
          <w:color w:val="000000"/>
        </w:rPr>
        <w:t>W okresie rekrutacji k</w:t>
      </w:r>
      <w:r w:rsidR="003D78D2">
        <w:rPr>
          <w:rFonts w:cs="Arial"/>
          <w:color w:val="000000"/>
        </w:rPr>
        <w:t>olejne osoby spośród nie wybranych odmawiały z różnych powodów wstąpienia w szeregi Zarządu:</w:t>
      </w:r>
      <w:r w:rsidR="003D78D2">
        <w:rPr>
          <w:rFonts w:cs="Arial"/>
          <w:color w:val="000000"/>
        </w:rPr>
        <w:tab/>
      </w:r>
      <w:r w:rsidR="00534262">
        <w:rPr>
          <w:rFonts w:cs="Arial"/>
          <w:color w:val="000000"/>
        </w:rPr>
        <w:tab/>
      </w:r>
      <w:r w:rsidR="003D78D2">
        <w:rPr>
          <w:rFonts w:cs="Arial"/>
          <w:color w:val="000000"/>
        </w:rPr>
        <w:t>a) Małgorzata Gabryś – Portkowska – jest już członkiem Rady,</w:t>
      </w:r>
      <w:r w:rsidR="003D78D2">
        <w:rPr>
          <w:rFonts w:cs="Arial"/>
          <w:color w:val="000000"/>
        </w:rPr>
        <w:tab/>
      </w:r>
      <w:r w:rsidR="003D78D2">
        <w:rPr>
          <w:rFonts w:cs="Arial"/>
          <w:color w:val="000000"/>
        </w:rPr>
        <w:tab/>
      </w:r>
      <w:r w:rsidR="003D78D2">
        <w:rPr>
          <w:rFonts w:cs="Arial"/>
          <w:color w:val="000000"/>
        </w:rPr>
        <w:tab/>
      </w:r>
      <w:r w:rsidR="003D78D2">
        <w:rPr>
          <w:rFonts w:cs="Arial"/>
          <w:color w:val="000000"/>
        </w:rPr>
        <w:tab/>
        <w:t xml:space="preserve">b) Arkadiusz Małecki – przebywa zagranicą i brak jest </w:t>
      </w:r>
      <w:r w:rsidR="00534262">
        <w:rPr>
          <w:rFonts w:cs="Arial"/>
          <w:color w:val="000000"/>
        </w:rPr>
        <w:t xml:space="preserve">z nim </w:t>
      </w:r>
      <w:r w:rsidR="003D78D2">
        <w:rPr>
          <w:rFonts w:cs="Arial"/>
          <w:color w:val="000000"/>
        </w:rPr>
        <w:t>kontaktu,</w:t>
      </w:r>
      <w:r w:rsidR="003D78D2">
        <w:rPr>
          <w:rFonts w:cs="Arial"/>
          <w:color w:val="000000"/>
        </w:rPr>
        <w:tab/>
      </w:r>
      <w:r w:rsidR="00534262">
        <w:rPr>
          <w:rFonts w:cs="Arial"/>
          <w:color w:val="000000"/>
        </w:rPr>
        <w:tab/>
      </w:r>
      <w:r w:rsidR="00534262">
        <w:rPr>
          <w:rFonts w:cs="Arial"/>
          <w:color w:val="000000"/>
        </w:rPr>
        <w:tab/>
      </w:r>
      <w:r w:rsidR="003D78D2">
        <w:rPr>
          <w:rFonts w:cs="Arial"/>
          <w:color w:val="000000"/>
        </w:rPr>
        <w:t xml:space="preserve">c) Adam Nowiński – </w:t>
      </w:r>
      <w:r w:rsidR="00534262">
        <w:rPr>
          <w:rFonts w:cs="Arial"/>
          <w:color w:val="000000"/>
        </w:rPr>
        <w:t xml:space="preserve">w rozmowie telefonicznej oświadczył, że </w:t>
      </w:r>
      <w:r w:rsidR="003D78D2">
        <w:rPr>
          <w:rFonts w:cs="Arial"/>
          <w:color w:val="000000"/>
        </w:rPr>
        <w:t xml:space="preserve">rozważa </w:t>
      </w:r>
      <w:r w:rsidR="00643E74">
        <w:rPr>
          <w:rFonts w:cs="Arial"/>
          <w:color w:val="000000"/>
        </w:rPr>
        <w:t xml:space="preserve"> </w:t>
      </w:r>
    </w:p>
    <w:p w:rsidR="00643E74" w:rsidRDefault="00643E74" w:rsidP="005F26B0">
      <w:pPr>
        <w:pStyle w:val="Akapitzlist"/>
        <w:ind w:left="1065"/>
        <w:jc w:val="both"/>
        <w:rPr>
          <w:sz w:val="24"/>
          <w:szCs w:val="24"/>
        </w:rPr>
      </w:pPr>
      <w:r>
        <w:rPr>
          <w:rFonts w:cs="Arial"/>
          <w:color w:val="000000"/>
        </w:rPr>
        <w:t xml:space="preserve">                         </w:t>
      </w:r>
      <w:r w:rsidR="003D78D2">
        <w:rPr>
          <w:rFonts w:cs="Arial"/>
          <w:color w:val="000000"/>
        </w:rPr>
        <w:t xml:space="preserve">możliwość </w:t>
      </w:r>
      <w:r w:rsidR="00FA70F0">
        <w:rPr>
          <w:sz w:val="24"/>
          <w:szCs w:val="24"/>
        </w:rPr>
        <w:t xml:space="preserve"> </w:t>
      </w:r>
      <w:r w:rsidR="003D78D2">
        <w:rPr>
          <w:sz w:val="24"/>
          <w:szCs w:val="24"/>
        </w:rPr>
        <w:t>rezygnacji z członkowstwa w DIROW,</w:t>
      </w:r>
      <w:r w:rsidR="003D78D2">
        <w:rPr>
          <w:sz w:val="24"/>
          <w:szCs w:val="24"/>
        </w:rPr>
        <w:tab/>
      </w:r>
      <w:r w:rsidR="003D78D2">
        <w:rPr>
          <w:sz w:val="24"/>
          <w:szCs w:val="24"/>
        </w:rPr>
        <w:tab/>
      </w:r>
    </w:p>
    <w:p w:rsidR="00D30F73" w:rsidRPr="00643E74" w:rsidRDefault="00643E74" w:rsidP="00643E74">
      <w:pPr>
        <w:pStyle w:val="Akapitzlist"/>
        <w:ind w:left="10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3D78D2">
        <w:rPr>
          <w:sz w:val="24"/>
          <w:szCs w:val="24"/>
        </w:rPr>
        <w:t>d) Krzysztof Nowak – kandyduje na vacat w Radzie,</w:t>
      </w:r>
      <w:r w:rsidR="003D78D2">
        <w:rPr>
          <w:sz w:val="24"/>
          <w:szCs w:val="24"/>
        </w:rPr>
        <w:tab/>
      </w:r>
      <w:r w:rsidR="003D78D2">
        <w:rPr>
          <w:sz w:val="24"/>
          <w:szCs w:val="24"/>
        </w:rPr>
        <w:tab/>
      </w:r>
      <w:r w:rsidR="003D78D2">
        <w:rPr>
          <w:sz w:val="24"/>
          <w:szCs w:val="24"/>
        </w:rPr>
        <w:tab/>
      </w:r>
      <w:r w:rsidR="003D78D2">
        <w:rPr>
          <w:sz w:val="24"/>
          <w:szCs w:val="24"/>
        </w:rPr>
        <w:tab/>
      </w:r>
      <w:r>
        <w:rPr>
          <w:sz w:val="24"/>
          <w:szCs w:val="24"/>
        </w:rPr>
        <w:t xml:space="preserve">             </w:t>
      </w:r>
      <w:r w:rsidR="003D78D2" w:rsidRPr="00643E74">
        <w:rPr>
          <w:sz w:val="24"/>
          <w:szCs w:val="24"/>
        </w:rPr>
        <w:t>e) Damian Woźniak</w:t>
      </w:r>
      <w:r w:rsidR="00FA70F0" w:rsidRPr="00643E74">
        <w:rPr>
          <w:sz w:val="24"/>
          <w:szCs w:val="24"/>
        </w:rPr>
        <w:t xml:space="preserve"> </w:t>
      </w:r>
      <w:r w:rsidR="003D78D2" w:rsidRPr="00643E74">
        <w:rPr>
          <w:sz w:val="24"/>
          <w:szCs w:val="24"/>
        </w:rPr>
        <w:t>– nie wyraził zgody na kandy</w:t>
      </w:r>
      <w:r w:rsidR="00534262" w:rsidRPr="00643E74">
        <w:rPr>
          <w:sz w:val="24"/>
          <w:szCs w:val="24"/>
        </w:rPr>
        <w:t>dowanie do Zarządu.</w:t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3D78D2" w:rsidRPr="00643E74">
        <w:rPr>
          <w:sz w:val="24"/>
          <w:szCs w:val="24"/>
        </w:rPr>
        <w:t>Zarząd wobec braku możliwości uzupełnienia składu Zarządu zgodnie z §</w:t>
      </w:r>
      <w:r w:rsidR="00D30F73" w:rsidRPr="00643E74">
        <w:rPr>
          <w:sz w:val="24"/>
          <w:szCs w:val="24"/>
        </w:rPr>
        <w:t xml:space="preserve"> 20 </w:t>
      </w:r>
      <w:r w:rsidR="003D78D2" w:rsidRPr="00643E74">
        <w:rPr>
          <w:sz w:val="24"/>
          <w:szCs w:val="24"/>
        </w:rPr>
        <w:t xml:space="preserve">Statutu DIROW wnioskuje do Walnego Zebrania Członków o wybory uzupełniające. </w:t>
      </w:r>
      <w:r w:rsidR="00534262" w:rsidRPr="00643E74">
        <w:rPr>
          <w:sz w:val="24"/>
          <w:szCs w:val="24"/>
        </w:rPr>
        <w:t>Oczywiście Zebranie może także postanowić, aby Zarząd działał nadal w składzie 8-osobowym.</w:t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534262" w:rsidRPr="00643E74">
        <w:rPr>
          <w:sz w:val="24"/>
          <w:szCs w:val="24"/>
        </w:rPr>
        <w:tab/>
      </w:r>
      <w:r w:rsidR="003D78D2" w:rsidRPr="00643E74">
        <w:rPr>
          <w:rFonts w:cs="Arial"/>
          <w:sz w:val="24"/>
          <w:szCs w:val="24"/>
        </w:rPr>
        <w:t>Zarząd podczas swoich posiedzeń</w:t>
      </w:r>
      <w:r w:rsidR="00947154" w:rsidRPr="00643E74">
        <w:rPr>
          <w:rFonts w:cs="Arial"/>
          <w:sz w:val="24"/>
          <w:szCs w:val="24"/>
        </w:rPr>
        <w:t xml:space="preserve"> </w:t>
      </w:r>
      <w:r w:rsidR="00947154" w:rsidRPr="00643E74">
        <w:rPr>
          <w:rFonts w:cs="Arial"/>
          <w:color w:val="000000"/>
          <w:sz w:val="24"/>
          <w:szCs w:val="24"/>
        </w:rPr>
        <w:t>kierował bieżącą pracą Stowarzyszenia</w:t>
      </w:r>
      <w:r w:rsidR="00947154" w:rsidRPr="00643E74">
        <w:rPr>
          <w:rFonts w:cs="Arial"/>
          <w:sz w:val="24"/>
          <w:szCs w:val="24"/>
        </w:rPr>
        <w:t xml:space="preserve"> oraz nadzorował</w:t>
      </w:r>
      <w:r w:rsidR="003D78D2" w:rsidRPr="00643E74">
        <w:rPr>
          <w:rFonts w:cs="Arial"/>
          <w:sz w:val="24"/>
          <w:szCs w:val="24"/>
        </w:rPr>
        <w:t xml:space="preserve"> realiz</w:t>
      </w:r>
      <w:r w:rsidR="00947154" w:rsidRPr="00643E74">
        <w:rPr>
          <w:rFonts w:cs="Arial"/>
          <w:sz w:val="24"/>
          <w:szCs w:val="24"/>
        </w:rPr>
        <w:t>owanie</w:t>
      </w:r>
      <w:r w:rsidR="003D78D2" w:rsidRPr="00643E74">
        <w:rPr>
          <w:rFonts w:cs="Arial"/>
          <w:sz w:val="24"/>
          <w:szCs w:val="24"/>
        </w:rPr>
        <w:t xml:space="preserve"> uchwał</w:t>
      </w:r>
      <w:r w:rsidR="00947154" w:rsidRPr="00643E74">
        <w:rPr>
          <w:rFonts w:cs="Arial"/>
          <w:sz w:val="24"/>
          <w:szCs w:val="24"/>
        </w:rPr>
        <w:t xml:space="preserve"> Walnego Zebrania Członków. </w:t>
      </w:r>
      <w:r w:rsidR="004B720C" w:rsidRPr="00643E74">
        <w:rPr>
          <w:rFonts w:cs="Arial"/>
          <w:sz w:val="24"/>
          <w:szCs w:val="24"/>
        </w:rPr>
        <w:t xml:space="preserve"> </w:t>
      </w:r>
      <w:r w:rsidR="00947154" w:rsidRPr="00643E74">
        <w:rPr>
          <w:rFonts w:cs="Arial"/>
          <w:sz w:val="24"/>
          <w:szCs w:val="24"/>
        </w:rPr>
        <w:t xml:space="preserve">7 lipca 2009 roku podpisał </w:t>
      </w:r>
      <w:r w:rsidR="00D30F73" w:rsidRPr="00643E74">
        <w:rPr>
          <w:rFonts w:cs="Arial"/>
          <w:sz w:val="24"/>
          <w:szCs w:val="24"/>
        </w:rPr>
        <w:t>najważniejszą</w:t>
      </w:r>
      <w:r w:rsidR="00947154" w:rsidRPr="00643E74">
        <w:rPr>
          <w:rFonts w:cs="Arial"/>
          <w:sz w:val="24"/>
          <w:szCs w:val="24"/>
        </w:rPr>
        <w:t xml:space="preserve"> umowę z Samorządem Województwa Zachodniopomorskiego </w:t>
      </w:r>
      <w:r w:rsidR="00D30F73" w:rsidRPr="00643E74">
        <w:rPr>
          <w:rFonts w:cs="Arial"/>
          <w:sz w:val="24"/>
          <w:szCs w:val="24"/>
        </w:rPr>
        <w:t>„O warunkach i sposobie realizacji Lokalnej Strategii Rozwo</w:t>
      </w:r>
      <w:r w:rsidR="00534262" w:rsidRPr="00643E74">
        <w:rPr>
          <w:rFonts w:cs="Arial"/>
          <w:sz w:val="24"/>
          <w:szCs w:val="24"/>
        </w:rPr>
        <w:t>ju” na łączną</w:t>
      </w:r>
      <w:r w:rsidR="00D30F73" w:rsidRPr="00643E74">
        <w:rPr>
          <w:rFonts w:cs="Arial"/>
          <w:sz w:val="24"/>
          <w:szCs w:val="24"/>
        </w:rPr>
        <w:t xml:space="preserve"> kwotę 9.185.916,00 zł., w tym na:</w:t>
      </w:r>
      <w:r w:rsidR="00D30F73" w:rsidRPr="00643E74">
        <w:rPr>
          <w:rFonts w:cs="Arial"/>
          <w:sz w:val="24"/>
          <w:szCs w:val="24"/>
        </w:rPr>
        <w:tab/>
      </w:r>
      <w:r w:rsidR="00D30F73" w:rsidRPr="00643E74">
        <w:rPr>
          <w:rFonts w:cs="Arial"/>
          <w:sz w:val="24"/>
          <w:szCs w:val="24"/>
        </w:rPr>
        <w:tab/>
      </w:r>
      <w:r w:rsidR="00D30F73" w:rsidRPr="00643E74">
        <w:rPr>
          <w:rFonts w:cs="Arial"/>
          <w:sz w:val="24"/>
          <w:szCs w:val="24"/>
        </w:rPr>
        <w:tab/>
      </w:r>
      <w:r w:rsidR="00D30F73" w:rsidRPr="00643E74">
        <w:rPr>
          <w:rFonts w:cs="Arial"/>
          <w:sz w:val="24"/>
          <w:szCs w:val="24"/>
        </w:rPr>
        <w:tab/>
      </w:r>
      <w:r w:rsidR="00D30F73" w:rsidRPr="00643E74">
        <w:rPr>
          <w:rFonts w:cs="Arial"/>
          <w:sz w:val="24"/>
          <w:szCs w:val="24"/>
        </w:rPr>
        <w:tab/>
      </w:r>
      <w:r w:rsidR="00D30F73" w:rsidRPr="00643E74">
        <w:rPr>
          <w:rFonts w:cs="Arial"/>
          <w:sz w:val="24"/>
          <w:szCs w:val="24"/>
        </w:rPr>
        <w:tab/>
      </w:r>
    </w:p>
    <w:p w:rsidR="00D30F73" w:rsidRPr="00FA70F0" w:rsidRDefault="00D30F73" w:rsidP="005F26B0">
      <w:pPr>
        <w:pStyle w:val="Akapitzlist"/>
        <w:ind w:left="1065"/>
        <w:jc w:val="both"/>
        <w:rPr>
          <w:b/>
        </w:rPr>
      </w:pPr>
      <w:r>
        <w:rPr>
          <w:sz w:val="24"/>
          <w:szCs w:val="24"/>
        </w:rPr>
        <w:tab/>
      </w:r>
      <w:r w:rsidRPr="00D30F73">
        <w:rPr>
          <w:rFonts w:cs="Arial"/>
          <w:sz w:val="24"/>
          <w:szCs w:val="24"/>
        </w:rPr>
        <w:t>a) Wdrażanie LSR…………………………………………….7.199.772,00 zł.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0F73">
        <w:rPr>
          <w:rFonts w:cs="Arial"/>
          <w:sz w:val="24"/>
          <w:szCs w:val="24"/>
        </w:rPr>
        <w:t>b) Wdrażanie projektów współpracy………</w:t>
      </w:r>
      <w:r>
        <w:rPr>
          <w:rFonts w:cs="Arial"/>
          <w:sz w:val="24"/>
          <w:szCs w:val="24"/>
        </w:rPr>
        <w:t>…</w:t>
      </w:r>
      <w:r w:rsidRPr="00D30F73">
        <w:rPr>
          <w:rFonts w:cs="Arial"/>
          <w:sz w:val="24"/>
          <w:szCs w:val="24"/>
        </w:rPr>
        <w:t>………..182.201,00 zł.</w:t>
      </w:r>
      <w:r w:rsidRPr="00D30F73">
        <w:rPr>
          <w:rFonts w:cs="Arial"/>
          <w:sz w:val="24"/>
          <w:szCs w:val="24"/>
        </w:rPr>
        <w:tab/>
      </w:r>
      <w:r w:rsidRPr="00D30F73">
        <w:rPr>
          <w:rFonts w:cs="Arial"/>
          <w:sz w:val="24"/>
          <w:szCs w:val="24"/>
        </w:rPr>
        <w:tab/>
      </w:r>
      <w:r w:rsidRPr="00D30F73">
        <w:rPr>
          <w:rFonts w:cs="Arial"/>
          <w:sz w:val="24"/>
          <w:szCs w:val="24"/>
        </w:rPr>
        <w:tab/>
        <w:t>c) Funkcjonowanie LGD…………………………………</w:t>
      </w:r>
      <w:r>
        <w:rPr>
          <w:rFonts w:cs="Arial"/>
          <w:sz w:val="24"/>
          <w:szCs w:val="24"/>
        </w:rPr>
        <w:t>….</w:t>
      </w:r>
      <w:r w:rsidRPr="00D30F73">
        <w:rPr>
          <w:rFonts w:cs="Arial"/>
          <w:sz w:val="24"/>
          <w:szCs w:val="24"/>
        </w:rPr>
        <w:t>1.799.943,00 zł.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</w:p>
    <w:p w:rsidR="00D30F73" w:rsidRPr="00D30F73" w:rsidRDefault="00D30F73" w:rsidP="005F26B0">
      <w:pPr>
        <w:jc w:val="both"/>
        <w:rPr>
          <w:b/>
        </w:rPr>
      </w:pPr>
      <w:r>
        <w:rPr>
          <w:b/>
        </w:rPr>
        <w:tab/>
      </w:r>
      <w:r w:rsidRPr="00D30F73">
        <w:rPr>
          <w:b/>
        </w:rPr>
        <w:t>Alokacja środków w ramach działania 4.13 „Wdrażanie lokalnych strategii rozwoju”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2747"/>
        <w:gridCol w:w="2639"/>
      </w:tblGrid>
      <w:tr w:rsidR="00D30F73" w:rsidRPr="00B95644" w:rsidTr="00883D1C">
        <w:trPr>
          <w:trHeight w:val="7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6666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pl-PL"/>
              </w:rPr>
              <w:t>Nazwa działania</w:t>
            </w: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666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pl-PL"/>
              </w:rPr>
              <w:t>% przeznaczony na poszczególne działania</w:t>
            </w:r>
          </w:p>
        </w:tc>
        <w:tc>
          <w:tcPr>
            <w:tcW w:w="2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666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pl-PL"/>
              </w:rPr>
              <w:t>Kwota (PLN)</w:t>
            </w:r>
          </w:p>
        </w:tc>
      </w:tr>
      <w:tr w:rsidR="00D30F73" w:rsidRPr="00B95644" w:rsidTr="00883D1C">
        <w:trPr>
          <w:trHeight w:val="494"/>
        </w:trPr>
        <w:tc>
          <w:tcPr>
            <w:tcW w:w="36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Różnicowanie w kierunku działalności nierolniczej</w:t>
            </w: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16,40%</w:t>
            </w:r>
          </w:p>
        </w:tc>
        <w:tc>
          <w:tcPr>
            <w:tcW w:w="26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1 180 762,61</w:t>
            </w:r>
          </w:p>
        </w:tc>
      </w:tr>
      <w:tr w:rsidR="00D30F73" w:rsidRPr="00B95644" w:rsidTr="00883D1C">
        <w:trPr>
          <w:trHeight w:val="2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Tworzenie i rozwój mikro-przedsiębiorstw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18,88%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1 359 316,95</w:t>
            </w:r>
          </w:p>
        </w:tc>
      </w:tr>
      <w:tr w:rsidR="00D30F73" w:rsidRPr="00B95644" w:rsidTr="00883D1C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Odnowa i rozwój wsi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39,17%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2 820 150,69</w:t>
            </w:r>
          </w:p>
        </w:tc>
      </w:tr>
      <w:tr w:rsidR="00D30F73" w:rsidRPr="00B95644" w:rsidTr="00883D1C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Małe projekty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25,55%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1 839 541,75</w:t>
            </w:r>
          </w:p>
        </w:tc>
      </w:tr>
      <w:tr w:rsidR="00D30F73" w:rsidRPr="00B95644" w:rsidTr="00883D1C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100,00%</w:t>
            </w: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D30F73" w:rsidRPr="00B95644" w:rsidRDefault="00D30F73" w:rsidP="005F26B0">
            <w:pPr>
              <w:spacing w:line="240" w:lineRule="auto"/>
              <w:jc w:val="both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B95644"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  <w:t>7 199 772,00</w:t>
            </w:r>
          </w:p>
        </w:tc>
      </w:tr>
    </w:tbl>
    <w:p w:rsidR="00D30F73" w:rsidRPr="005272F3" w:rsidRDefault="00D30F73" w:rsidP="005F26B0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947154" w:rsidRPr="005272F3" w:rsidRDefault="005272F3" w:rsidP="005F26B0">
      <w:pPr>
        <w:pStyle w:val="Akapitzlist"/>
        <w:spacing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D30F73" w:rsidRPr="005272F3">
        <w:rPr>
          <w:rFonts w:cs="Arial"/>
          <w:sz w:val="24"/>
          <w:szCs w:val="24"/>
        </w:rPr>
        <w:t>Zarząd realizując budżet</w:t>
      </w:r>
      <w:r w:rsidR="003D78D2" w:rsidRPr="005272F3">
        <w:rPr>
          <w:rFonts w:cs="Arial"/>
          <w:sz w:val="24"/>
          <w:szCs w:val="24"/>
        </w:rPr>
        <w:t xml:space="preserve"> Stowarzyszenia</w:t>
      </w:r>
      <w:r w:rsidR="00D30F73" w:rsidRPr="005272F3">
        <w:rPr>
          <w:rFonts w:cs="Arial"/>
          <w:sz w:val="24"/>
          <w:szCs w:val="24"/>
        </w:rPr>
        <w:t xml:space="preserve"> podpisał dwie roczne umowy </w:t>
      </w:r>
      <w:r w:rsidR="00643E74">
        <w:rPr>
          <w:rFonts w:cs="Arial"/>
          <w:sz w:val="24"/>
          <w:szCs w:val="24"/>
        </w:rPr>
        <w:t>(2009 i </w:t>
      </w:r>
      <w:r w:rsidR="00EA6274" w:rsidRPr="005272F3">
        <w:rPr>
          <w:rFonts w:cs="Arial"/>
          <w:sz w:val="24"/>
          <w:szCs w:val="24"/>
        </w:rPr>
        <w:t xml:space="preserve">2010) na </w:t>
      </w:r>
      <w:r w:rsidR="00D30F73" w:rsidRPr="005272F3">
        <w:rPr>
          <w:rFonts w:cs="Arial"/>
          <w:sz w:val="24"/>
          <w:szCs w:val="24"/>
        </w:rPr>
        <w:t>„Funkcjonowanie, nabywanie umiejętności i aktywizację</w:t>
      </w:r>
      <w:r w:rsidR="00EA6274" w:rsidRPr="005272F3">
        <w:rPr>
          <w:rFonts w:cs="Arial"/>
          <w:sz w:val="24"/>
          <w:szCs w:val="24"/>
        </w:rPr>
        <w:t>” oraz obecnie znajduje się w przededniu podpisania umowy do końca okresu programowego, tj. półrocza roku 2015.</w:t>
      </w:r>
    </w:p>
    <w:p w:rsidR="005272F3" w:rsidRDefault="00947154" w:rsidP="005F26B0">
      <w:pPr>
        <w:pStyle w:val="Akapitzlist"/>
        <w:spacing w:line="240" w:lineRule="auto"/>
        <w:jc w:val="both"/>
        <w:rPr>
          <w:rFonts w:cs="Arial"/>
          <w:color w:val="000000"/>
          <w:sz w:val="24"/>
          <w:szCs w:val="24"/>
        </w:rPr>
      </w:pPr>
      <w:r w:rsidRPr="005272F3">
        <w:rPr>
          <w:rFonts w:cs="Arial"/>
          <w:sz w:val="24"/>
          <w:szCs w:val="24"/>
        </w:rPr>
        <w:lastRenderedPageBreak/>
        <w:tab/>
      </w:r>
      <w:r w:rsidR="00EA6274" w:rsidRPr="005272F3">
        <w:rPr>
          <w:rFonts w:cs="Arial"/>
          <w:sz w:val="24"/>
          <w:szCs w:val="24"/>
        </w:rPr>
        <w:t>Do kompetencji Zarządu należało także nadzorowanie ściągania</w:t>
      </w:r>
      <w:r w:rsidRPr="005272F3">
        <w:rPr>
          <w:rFonts w:cs="Arial"/>
          <w:sz w:val="24"/>
          <w:szCs w:val="24"/>
        </w:rPr>
        <w:t xml:space="preserve"> składek </w:t>
      </w:r>
      <w:r w:rsidR="003D78D2" w:rsidRPr="005272F3">
        <w:rPr>
          <w:rFonts w:cs="Arial"/>
          <w:color w:val="000000"/>
          <w:sz w:val="24"/>
          <w:szCs w:val="24"/>
        </w:rPr>
        <w:t>członkowskich</w:t>
      </w:r>
      <w:r w:rsidR="00EA6274" w:rsidRPr="005272F3">
        <w:rPr>
          <w:rFonts w:cs="Arial"/>
          <w:color w:val="000000"/>
          <w:sz w:val="24"/>
          <w:szCs w:val="24"/>
        </w:rPr>
        <w:t xml:space="preserve"> oraz </w:t>
      </w:r>
      <w:r w:rsidRPr="005272F3">
        <w:rPr>
          <w:rFonts w:cs="Arial"/>
          <w:sz w:val="24"/>
          <w:szCs w:val="24"/>
        </w:rPr>
        <w:t xml:space="preserve"> </w:t>
      </w:r>
      <w:r w:rsidR="00EA6274" w:rsidRPr="005272F3">
        <w:rPr>
          <w:rFonts w:cs="Arial"/>
          <w:sz w:val="24"/>
          <w:szCs w:val="24"/>
        </w:rPr>
        <w:t xml:space="preserve">podejmowanie </w:t>
      </w:r>
      <w:r w:rsidR="003D78D2" w:rsidRPr="005272F3">
        <w:rPr>
          <w:rFonts w:cs="Arial"/>
          <w:sz w:val="24"/>
          <w:szCs w:val="24"/>
        </w:rPr>
        <w:t>uchwał w sprawach przyjmowania i wykluczania człon</w:t>
      </w:r>
      <w:r w:rsidR="00EA6274" w:rsidRPr="005272F3">
        <w:rPr>
          <w:rFonts w:cs="Arial"/>
          <w:sz w:val="24"/>
          <w:szCs w:val="24"/>
        </w:rPr>
        <w:t xml:space="preserve">ków. W tym okresie Zarząd wykluczył jednie 3 osoby, które złożyły stosowne oświadczenie. Liczba nowych członków </w:t>
      </w:r>
      <w:r w:rsidR="005272F3">
        <w:rPr>
          <w:rFonts w:cs="Arial"/>
          <w:sz w:val="24"/>
          <w:szCs w:val="24"/>
        </w:rPr>
        <w:t xml:space="preserve">wyniosła 36. Ogółem do Walnego </w:t>
      </w:r>
      <w:r w:rsidR="00EA6274" w:rsidRPr="005272F3">
        <w:rPr>
          <w:rFonts w:cs="Arial"/>
          <w:sz w:val="24"/>
          <w:szCs w:val="24"/>
        </w:rPr>
        <w:t>Zebrania dopuszczonych jest 97</w:t>
      </w:r>
      <w:r w:rsidR="005272F3">
        <w:rPr>
          <w:rFonts w:cs="Arial"/>
          <w:sz w:val="24"/>
          <w:szCs w:val="24"/>
        </w:rPr>
        <w:t xml:space="preserve"> czło</w:t>
      </w:r>
      <w:r w:rsidR="00EA6274" w:rsidRPr="005272F3">
        <w:rPr>
          <w:rFonts w:cs="Arial"/>
          <w:sz w:val="24"/>
          <w:szCs w:val="24"/>
        </w:rPr>
        <w:t>nków.</w:t>
      </w:r>
      <w:r w:rsidR="00534262">
        <w:rPr>
          <w:rFonts w:cs="Arial"/>
          <w:sz w:val="24"/>
          <w:szCs w:val="24"/>
        </w:rPr>
        <w:t xml:space="preserve"> Tak więc przyrost nowych członków wyniósł </w:t>
      </w:r>
      <w:r w:rsidR="002944C6">
        <w:rPr>
          <w:rFonts w:cs="Arial"/>
          <w:sz w:val="24"/>
          <w:szCs w:val="24"/>
        </w:rPr>
        <w:t>niemal 60 % składu.</w:t>
      </w:r>
      <w:r w:rsidRPr="005272F3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ab/>
      </w:r>
      <w:r w:rsidR="002944C6">
        <w:rPr>
          <w:rFonts w:cs="Arial"/>
          <w:sz w:val="24"/>
          <w:szCs w:val="24"/>
        </w:rPr>
        <w:tab/>
      </w:r>
      <w:r w:rsidR="002944C6">
        <w:rPr>
          <w:rFonts w:cs="Arial"/>
          <w:sz w:val="24"/>
          <w:szCs w:val="24"/>
        </w:rPr>
        <w:tab/>
      </w:r>
      <w:r w:rsidR="002944C6">
        <w:rPr>
          <w:rFonts w:cs="Arial"/>
          <w:sz w:val="24"/>
          <w:szCs w:val="24"/>
        </w:rPr>
        <w:tab/>
      </w:r>
      <w:r w:rsidR="00EA6274" w:rsidRPr="005272F3">
        <w:rPr>
          <w:rFonts w:cs="Arial"/>
          <w:sz w:val="24"/>
          <w:szCs w:val="24"/>
        </w:rPr>
        <w:t xml:space="preserve">Zarząd w okresie sprawozdawczym </w:t>
      </w:r>
      <w:r w:rsidRPr="005272F3">
        <w:rPr>
          <w:rFonts w:cs="Arial"/>
          <w:color w:val="000000"/>
          <w:sz w:val="24"/>
          <w:szCs w:val="24"/>
        </w:rPr>
        <w:t>powoływał</w:t>
      </w:r>
      <w:r w:rsidR="003D78D2" w:rsidRPr="005272F3">
        <w:rPr>
          <w:rFonts w:cs="Arial"/>
          <w:color w:val="000000"/>
          <w:sz w:val="24"/>
          <w:szCs w:val="24"/>
        </w:rPr>
        <w:t xml:space="preserve"> i odwoływa</w:t>
      </w:r>
      <w:r w:rsidRPr="005272F3">
        <w:rPr>
          <w:rFonts w:cs="Arial"/>
          <w:color w:val="000000"/>
          <w:sz w:val="24"/>
          <w:szCs w:val="24"/>
        </w:rPr>
        <w:t>ł</w:t>
      </w:r>
      <w:r w:rsidR="005272F3">
        <w:rPr>
          <w:rFonts w:cs="Arial"/>
          <w:color w:val="000000"/>
          <w:sz w:val="24"/>
          <w:szCs w:val="24"/>
        </w:rPr>
        <w:t xml:space="preserve"> dyrektorów</w:t>
      </w:r>
      <w:r w:rsidR="003D78D2" w:rsidRPr="005272F3">
        <w:rPr>
          <w:rFonts w:cs="Arial"/>
          <w:color w:val="000000"/>
          <w:sz w:val="24"/>
          <w:szCs w:val="24"/>
        </w:rPr>
        <w:t xml:space="preserve"> </w:t>
      </w:r>
      <w:r w:rsidR="005F26B0">
        <w:rPr>
          <w:rFonts w:cs="Arial"/>
          <w:color w:val="000000"/>
          <w:sz w:val="24"/>
          <w:szCs w:val="24"/>
        </w:rPr>
        <w:t>i </w:t>
      </w:r>
      <w:r w:rsidRPr="005272F3">
        <w:rPr>
          <w:rFonts w:cs="Arial"/>
          <w:color w:val="000000"/>
          <w:sz w:val="24"/>
          <w:szCs w:val="24"/>
        </w:rPr>
        <w:t>pracowników Biura Stowarzyszenia.</w:t>
      </w:r>
      <w:r w:rsidR="00EA6274" w:rsidRPr="005272F3">
        <w:rPr>
          <w:rFonts w:cs="Arial"/>
          <w:color w:val="000000"/>
          <w:sz w:val="24"/>
          <w:szCs w:val="24"/>
        </w:rPr>
        <w:t xml:space="preserve"> Funkcję Dyrektora w okresie 10 listopada 2009 – 30 września</w:t>
      </w:r>
      <w:r w:rsidR="002944C6">
        <w:rPr>
          <w:rFonts w:cs="Arial"/>
          <w:color w:val="000000"/>
          <w:sz w:val="24"/>
          <w:szCs w:val="24"/>
        </w:rPr>
        <w:t xml:space="preserve"> 2010</w:t>
      </w:r>
      <w:r w:rsidR="00EA6274" w:rsidRPr="005272F3">
        <w:rPr>
          <w:rFonts w:cs="Arial"/>
          <w:color w:val="000000"/>
          <w:sz w:val="24"/>
          <w:szCs w:val="24"/>
        </w:rPr>
        <w:t xml:space="preserve"> pełnił Radosław</w:t>
      </w:r>
      <w:r w:rsidR="002944C6">
        <w:rPr>
          <w:rFonts w:cs="Arial"/>
          <w:color w:val="000000"/>
          <w:sz w:val="24"/>
          <w:szCs w:val="24"/>
        </w:rPr>
        <w:t xml:space="preserve"> Rzepka. O</w:t>
      </w:r>
      <w:r w:rsidR="00EA6274" w:rsidRPr="005272F3">
        <w:rPr>
          <w:rFonts w:cs="Arial"/>
          <w:color w:val="000000"/>
          <w:sz w:val="24"/>
          <w:szCs w:val="24"/>
        </w:rPr>
        <w:t xml:space="preserve">d 13 grudnia 2010 </w:t>
      </w:r>
      <w:r w:rsidR="002944C6">
        <w:rPr>
          <w:rFonts w:cs="Arial"/>
          <w:color w:val="000000"/>
          <w:sz w:val="24"/>
          <w:szCs w:val="24"/>
        </w:rPr>
        <w:t xml:space="preserve">funkcję tą </w:t>
      </w:r>
      <w:r w:rsidR="00EA6274" w:rsidRPr="005272F3">
        <w:rPr>
          <w:rFonts w:cs="Arial"/>
          <w:color w:val="000000"/>
          <w:sz w:val="24"/>
          <w:szCs w:val="24"/>
        </w:rPr>
        <w:t xml:space="preserve">w wyniku dokonanego naboru sprawuje </w:t>
      </w:r>
      <w:r w:rsidR="005272F3" w:rsidRPr="005272F3">
        <w:rPr>
          <w:rFonts w:cs="Arial"/>
          <w:color w:val="000000"/>
          <w:sz w:val="24"/>
          <w:szCs w:val="24"/>
        </w:rPr>
        <w:t xml:space="preserve">Piotr Waydyk, który dodatkowo w okresie październik – listopad nadzorował prace Biura jako wiceprezes Zarządu. Na stanowisku pracownika ds. koordynowania projektów w okresie </w:t>
      </w:r>
      <w:r w:rsidR="002944C6">
        <w:rPr>
          <w:rFonts w:cs="Arial"/>
          <w:color w:val="000000"/>
          <w:sz w:val="24"/>
          <w:szCs w:val="24"/>
        </w:rPr>
        <w:t xml:space="preserve">od </w:t>
      </w:r>
      <w:r w:rsidR="005272F3" w:rsidRPr="005272F3">
        <w:rPr>
          <w:rFonts w:cs="Arial"/>
          <w:color w:val="000000"/>
          <w:sz w:val="24"/>
          <w:szCs w:val="24"/>
        </w:rPr>
        <w:t xml:space="preserve">10 listopada 2009 </w:t>
      </w:r>
      <w:r w:rsidR="002944C6">
        <w:rPr>
          <w:rFonts w:cs="Arial"/>
          <w:color w:val="000000"/>
          <w:sz w:val="24"/>
          <w:szCs w:val="24"/>
        </w:rPr>
        <w:t>do</w:t>
      </w:r>
      <w:r w:rsidR="005272F3" w:rsidRPr="005272F3">
        <w:rPr>
          <w:rFonts w:cs="Arial"/>
          <w:color w:val="000000"/>
          <w:sz w:val="24"/>
          <w:szCs w:val="24"/>
        </w:rPr>
        <w:t xml:space="preserve"> 17 grudnia 2010 pracował Maciej Grabowicz, a od 10 stycznia 2011 roku Aleksandra Mendrygał. Od lipca 2010 roku pracuje także stażystka Żaneta Skubiszewska.</w:t>
      </w:r>
      <w:r w:rsidR="003D78D2" w:rsidRPr="005272F3">
        <w:rPr>
          <w:rFonts w:cs="Arial"/>
          <w:color w:val="000000"/>
          <w:sz w:val="24"/>
          <w:szCs w:val="24"/>
        </w:rPr>
        <w:tab/>
      </w:r>
      <w:r w:rsidR="003D78D2"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  <w:r w:rsidRPr="005272F3">
        <w:rPr>
          <w:rFonts w:cs="Arial"/>
          <w:color w:val="000000"/>
          <w:sz w:val="24"/>
          <w:szCs w:val="24"/>
        </w:rPr>
        <w:tab/>
      </w:r>
    </w:p>
    <w:p w:rsidR="005F26B0" w:rsidRPr="005F26B0" w:rsidRDefault="005F26B0" w:rsidP="005F26B0">
      <w:pPr>
        <w:pStyle w:val="Akapitzlist"/>
        <w:spacing w:line="240" w:lineRule="auto"/>
        <w:jc w:val="both"/>
        <w:rPr>
          <w:b/>
          <w:sz w:val="24"/>
          <w:szCs w:val="24"/>
        </w:rPr>
      </w:pPr>
    </w:p>
    <w:p w:rsidR="00D548D6" w:rsidRDefault="005272F3" w:rsidP="005F26B0">
      <w:pPr>
        <w:pStyle w:val="Akapitzlist"/>
        <w:numPr>
          <w:ilvl w:val="0"/>
          <w:numId w:val="3"/>
        </w:numPr>
        <w:jc w:val="both"/>
        <w:rPr>
          <w:sz w:val="32"/>
          <w:szCs w:val="32"/>
          <w:u w:val="single"/>
        </w:rPr>
      </w:pPr>
      <w:r w:rsidRPr="00FA70F0">
        <w:rPr>
          <w:sz w:val="32"/>
          <w:szCs w:val="32"/>
          <w:u w:val="single"/>
        </w:rPr>
        <w:t xml:space="preserve">Sprawozdanie </w:t>
      </w:r>
      <w:r>
        <w:rPr>
          <w:sz w:val="32"/>
          <w:szCs w:val="32"/>
          <w:u w:val="single"/>
        </w:rPr>
        <w:t>finansowe</w:t>
      </w:r>
      <w:r w:rsidR="00D548D6">
        <w:rPr>
          <w:sz w:val="32"/>
          <w:szCs w:val="32"/>
          <w:u w:val="single"/>
        </w:rPr>
        <w:t xml:space="preserve"> </w:t>
      </w:r>
    </w:p>
    <w:p w:rsidR="005272F3" w:rsidRPr="00FA70F0" w:rsidRDefault="00D548D6" w:rsidP="005F26B0">
      <w:pPr>
        <w:pStyle w:val="Akapitzlist"/>
        <w:ind w:left="1080"/>
        <w:jc w:val="both"/>
        <w:rPr>
          <w:sz w:val="32"/>
          <w:szCs w:val="32"/>
          <w:u w:val="single"/>
        </w:rPr>
      </w:pPr>
      <w:r>
        <w:rPr>
          <w:rFonts w:ascii="Arial Narrow" w:eastAsia="Calibri" w:hAnsi="Arial Narrow" w:cs="Times New Roman"/>
          <w:b/>
          <w:sz w:val="24"/>
        </w:rPr>
        <w:t>za okres 01.01.2010 – 31.12.2010</w:t>
      </w:r>
      <w:r w:rsidR="00643E74">
        <w:rPr>
          <w:sz w:val="32"/>
          <w:szCs w:val="32"/>
          <w:u w:val="single"/>
        </w:rPr>
        <w:t>.</w:t>
      </w:r>
    </w:p>
    <w:p w:rsidR="00FA70F0" w:rsidRPr="005272F3" w:rsidRDefault="00FA70F0" w:rsidP="00643E74">
      <w:pPr>
        <w:pStyle w:val="Akapitzlist"/>
        <w:spacing w:after="0"/>
        <w:ind w:left="1065"/>
        <w:jc w:val="both"/>
        <w:rPr>
          <w:b/>
          <w:sz w:val="24"/>
          <w:szCs w:val="24"/>
        </w:rPr>
      </w:pPr>
    </w:p>
    <w:p w:rsidR="005272F3" w:rsidRDefault="005272F3" w:rsidP="005F26B0">
      <w:pPr>
        <w:spacing w:line="360" w:lineRule="auto"/>
        <w:jc w:val="both"/>
        <w:rPr>
          <w:rFonts w:ascii="Arial Narrow" w:eastAsia="Calibri" w:hAnsi="Arial Narrow" w:cs="Times New Roman"/>
          <w:b/>
          <w:sz w:val="24"/>
        </w:rPr>
      </w:pPr>
      <w:r>
        <w:rPr>
          <w:rFonts w:ascii="Arial Narrow" w:eastAsia="Calibri" w:hAnsi="Arial Narrow" w:cs="Times New Roman"/>
          <w:b/>
          <w:sz w:val="24"/>
        </w:rPr>
        <w:t>1. Analiza przychodów– 133 011,54 zł</w:t>
      </w:r>
    </w:p>
    <w:p w:rsidR="005272F3" w:rsidRDefault="005272F3" w:rsidP="005F26B0">
      <w:pPr>
        <w:numPr>
          <w:ilvl w:val="0"/>
          <w:numId w:val="5"/>
        </w:numPr>
        <w:tabs>
          <w:tab w:val="clear" w:pos="360"/>
          <w:tab w:val="num" w:pos="927"/>
        </w:tabs>
        <w:spacing w:after="0" w:line="360" w:lineRule="auto"/>
        <w:ind w:left="927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przychody z tytułu składek członkowskich</w:t>
      </w:r>
      <w:r w:rsidR="00D548D6">
        <w:rPr>
          <w:rFonts w:ascii="Arial Narrow" w:hAnsi="Arial Narrow"/>
          <w:sz w:val="24"/>
        </w:rPr>
        <w:t xml:space="preserve"> od osób prawnych i fizycznych</w:t>
      </w:r>
      <w:r>
        <w:rPr>
          <w:rFonts w:ascii="Arial Narrow" w:eastAsia="Calibri" w:hAnsi="Arial Narrow" w:cs="Times New Roman"/>
          <w:sz w:val="24"/>
        </w:rPr>
        <w:t xml:space="preserve"> – 67 502,20 zł</w:t>
      </w:r>
    </w:p>
    <w:p w:rsidR="00D548D6" w:rsidRDefault="005272F3" w:rsidP="005F26B0">
      <w:pPr>
        <w:numPr>
          <w:ilvl w:val="0"/>
          <w:numId w:val="5"/>
        </w:numPr>
        <w:tabs>
          <w:tab w:val="clear" w:pos="360"/>
          <w:tab w:val="num" w:pos="927"/>
        </w:tabs>
        <w:spacing w:after="0" w:line="360" w:lineRule="auto"/>
        <w:ind w:left="927"/>
        <w:jc w:val="both"/>
        <w:rPr>
          <w:rFonts w:ascii="Arial Narrow" w:hAnsi="Arial Narrow"/>
          <w:sz w:val="24"/>
        </w:rPr>
      </w:pPr>
      <w:r>
        <w:rPr>
          <w:rFonts w:ascii="Arial Narrow" w:eastAsia="Calibri" w:hAnsi="Arial Narrow" w:cs="Times New Roman"/>
          <w:sz w:val="24"/>
        </w:rPr>
        <w:t>pozostałe przychody  65 509,34 zł obejmują –środki finansowe otrzymane  z Samorządu Województwa Zachodniopomorskiego w Szczecinie na podstawie umowy nr 3499-UM160010/09 z dnia 07.07.2009r. na realizację Lokalnej Strategii Rozwoju Obszarów Wiejskich – 43 024,00 zł</w:t>
      </w:r>
    </w:p>
    <w:p w:rsidR="005272F3" w:rsidRDefault="00D548D6" w:rsidP="005F26B0">
      <w:pPr>
        <w:numPr>
          <w:ilvl w:val="0"/>
          <w:numId w:val="5"/>
        </w:numPr>
        <w:tabs>
          <w:tab w:val="clear" w:pos="360"/>
          <w:tab w:val="num" w:pos="927"/>
        </w:tabs>
        <w:spacing w:after="0" w:line="360" w:lineRule="auto"/>
        <w:ind w:left="927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hAnsi="Arial Narrow"/>
          <w:sz w:val="24"/>
        </w:rPr>
        <w:t>nadwyżka</w:t>
      </w:r>
      <w:r w:rsidR="005272F3">
        <w:rPr>
          <w:rFonts w:ascii="Arial Narrow" w:eastAsia="Calibri" w:hAnsi="Arial Narrow" w:cs="Times New Roman"/>
          <w:sz w:val="24"/>
        </w:rPr>
        <w:t xml:space="preserve"> przychodów nad kosztami z roku 2009 w wysokości –22 485,34 zł</w:t>
      </w:r>
    </w:p>
    <w:p w:rsidR="00D548D6" w:rsidRDefault="00D548D6" w:rsidP="00643E74">
      <w:pPr>
        <w:spacing w:after="0" w:line="360" w:lineRule="auto"/>
        <w:ind w:firstLine="426"/>
        <w:jc w:val="both"/>
        <w:rPr>
          <w:rFonts w:ascii="Arial Narrow" w:hAnsi="Arial Narrow"/>
          <w:b/>
          <w:sz w:val="24"/>
        </w:rPr>
      </w:pPr>
    </w:p>
    <w:p w:rsidR="005272F3" w:rsidRDefault="005272F3" w:rsidP="005F26B0">
      <w:pPr>
        <w:spacing w:line="360" w:lineRule="auto"/>
        <w:jc w:val="both"/>
        <w:rPr>
          <w:rFonts w:ascii="Arial Narrow" w:eastAsia="Calibri" w:hAnsi="Arial Narrow" w:cs="Times New Roman"/>
          <w:b/>
          <w:sz w:val="24"/>
        </w:rPr>
      </w:pPr>
      <w:r>
        <w:rPr>
          <w:rFonts w:ascii="Arial Narrow" w:eastAsia="Calibri" w:hAnsi="Arial Narrow" w:cs="Times New Roman"/>
          <w:b/>
          <w:sz w:val="24"/>
        </w:rPr>
        <w:t>2. Analiza kosztów – 150 476,00 zł</w:t>
      </w:r>
    </w:p>
    <w:p w:rsidR="005272F3" w:rsidRDefault="005272F3" w:rsidP="005F26B0">
      <w:pPr>
        <w:numPr>
          <w:ilvl w:val="0"/>
          <w:numId w:val="6"/>
        </w:numPr>
        <w:tabs>
          <w:tab w:val="clear" w:pos="360"/>
          <w:tab w:val="num" w:pos="786"/>
        </w:tabs>
        <w:spacing w:after="0" w:line="360" w:lineRule="auto"/>
        <w:ind w:left="786" w:hanging="219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Koszty realizacji działań statutowych – 12 221,87 zł dotyczą przygotowania i przeprowadzenia szkoleń w zakresie możliwości korzystania i wdrażania rozwoju, restrukturyzacji i modernizacji rolnictwa oraz aktywizowania i mobilizowania ludności wiejskiej oraz utrzymania strony internatowej</w:t>
      </w:r>
    </w:p>
    <w:p w:rsidR="005272F3" w:rsidRDefault="005272F3" w:rsidP="005F26B0">
      <w:pPr>
        <w:numPr>
          <w:ilvl w:val="0"/>
          <w:numId w:val="6"/>
        </w:numPr>
        <w:tabs>
          <w:tab w:val="clear" w:pos="360"/>
          <w:tab w:val="num" w:pos="786"/>
        </w:tabs>
        <w:spacing w:after="0" w:line="360" w:lineRule="auto"/>
        <w:ind w:left="786" w:hanging="219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 xml:space="preserve">Koszty administracyjne – 138 194,62 zł  </w:t>
      </w:r>
    </w:p>
    <w:p w:rsidR="005272F3" w:rsidRDefault="005272F3" w:rsidP="005F26B0">
      <w:pPr>
        <w:pStyle w:val="Tekstpodstawowywcity"/>
        <w:numPr>
          <w:ilvl w:val="1"/>
          <w:numId w:val="4"/>
        </w:num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zużycie materiałów i energii – 892,22 zł dotyczy z</w:t>
      </w:r>
      <w:r w:rsidR="005F26B0">
        <w:rPr>
          <w:rFonts w:ascii="Arial Narrow" w:hAnsi="Arial Narrow"/>
          <w:sz w:val="24"/>
        </w:rPr>
        <w:t>akupu materiałów niezbędnych do </w:t>
      </w:r>
      <w:r>
        <w:rPr>
          <w:rFonts w:ascii="Arial Narrow" w:hAnsi="Arial Narrow"/>
          <w:sz w:val="24"/>
        </w:rPr>
        <w:t>funkcjonowania biura</w:t>
      </w:r>
    </w:p>
    <w:p w:rsidR="005272F3" w:rsidRDefault="005272F3" w:rsidP="005F26B0">
      <w:pPr>
        <w:numPr>
          <w:ilvl w:val="1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usługi obce – 22 824,60 dotyczą usług archiwizacji danych, usługi księgowej, telekomunikacyjnej oraz wykonania pieczątek</w:t>
      </w:r>
    </w:p>
    <w:p w:rsidR="005272F3" w:rsidRDefault="005272F3" w:rsidP="005F26B0">
      <w:pPr>
        <w:numPr>
          <w:ilvl w:val="1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lastRenderedPageBreak/>
        <w:t xml:space="preserve">podatki i opłaty  - 948,94 zł obejmują opłaty bankowe </w:t>
      </w:r>
      <w:r w:rsidR="005F26B0">
        <w:rPr>
          <w:rFonts w:ascii="Arial Narrow" w:eastAsia="Calibri" w:hAnsi="Arial Narrow" w:cs="Times New Roman"/>
          <w:sz w:val="24"/>
        </w:rPr>
        <w:t>za prowadzenie rachunku i </w:t>
      </w:r>
      <w:r>
        <w:rPr>
          <w:rFonts w:ascii="Arial Narrow" w:eastAsia="Calibri" w:hAnsi="Arial Narrow" w:cs="Times New Roman"/>
          <w:sz w:val="24"/>
        </w:rPr>
        <w:t xml:space="preserve">realizację przelewów </w:t>
      </w:r>
    </w:p>
    <w:p w:rsidR="005272F3" w:rsidRDefault="005272F3" w:rsidP="005F26B0">
      <w:pPr>
        <w:numPr>
          <w:ilvl w:val="1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wynagrodzenia oraz ubezpieczenia społeczne i inne świadczenia – 108 417,30 zł dotyczą wynagrodzeń pracowników zatrudnionych na umowę o pracę i umowę zlecenie oraz składek na ubezpieczenia społeczne</w:t>
      </w:r>
    </w:p>
    <w:p w:rsidR="005272F3" w:rsidRDefault="005272F3" w:rsidP="005F26B0">
      <w:pPr>
        <w:numPr>
          <w:ilvl w:val="1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pozostałe koszty – 1 112,20 zł dotyczą kosztów delegacji pracownika jednostki</w:t>
      </w:r>
    </w:p>
    <w:p w:rsidR="005272F3" w:rsidRDefault="005272F3" w:rsidP="005F26B0">
      <w:pPr>
        <w:numPr>
          <w:ilvl w:val="1"/>
          <w:numId w:val="4"/>
        </w:numPr>
        <w:spacing w:after="0" w:line="360" w:lineRule="auto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amortyzacja – 3 999,36 zł</w:t>
      </w:r>
    </w:p>
    <w:p w:rsidR="005272F3" w:rsidRDefault="005272F3" w:rsidP="005F26B0">
      <w:pPr>
        <w:numPr>
          <w:ilvl w:val="0"/>
          <w:numId w:val="7"/>
        </w:numPr>
        <w:tabs>
          <w:tab w:val="clear" w:pos="360"/>
          <w:tab w:val="num" w:pos="851"/>
        </w:tabs>
        <w:spacing w:after="0" w:line="360" w:lineRule="auto"/>
        <w:ind w:left="927"/>
        <w:jc w:val="both"/>
        <w:rPr>
          <w:rFonts w:ascii="Arial Narrow" w:eastAsia="Calibri" w:hAnsi="Arial Narrow" w:cs="Times New Roman"/>
          <w:sz w:val="24"/>
        </w:rPr>
      </w:pPr>
      <w:r>
        <w:rPr>
          <w:rFonts w:ascii="Arial Narrow" w:eastAsia="Calibri" w:hAnsi="Arial Narrow" w:cs="Times New Roman"/>
          <w:sz w:val="24"/>
        </w:rPr>
        <w:t>Koszty finansowe – 59,51 zł stanowią odsetki pob</w:t>
      </w:r>
      <w:r w:rsidR="005F26B0">
        <w:rPr>
          <w:rFonts w:ascii="Arial Narrow" w:eastAsia="Calibri" w:hAnsi="Arial Narrow" w:cs="Times New Roman"/>
          <w:sz w:val="24"/>
        </w:rPr>
        <w:t>rane przez bank oraz odsetki za </w:t>
      </w:r>
      <w:r>
        <w:rPr>
          <w:rFonts w:ascii="Arial Narrow" w:eastAsia="Calibri" w:hAnsi="Arial Narrow" w:cs="Times New Roman"/>
          <w:sz w:val="24"/>
        </w:rPr>
        <w:t>nieterminowe płatności.</w:t>
      </w:r>
    </w:p>
    <w:p w:rsidR="00D548D6" w:rsidRDefault="00D548D6" w:rsidP="005F26B0">
      <w:pPr>
        <w:spacing w:after="0" w:line="360" w:lineRule="auto"/>
        <w:ind w:left="567"/>
        <w:jc w:val="both"/>
        <w:rPr>
          <w:rFonts w:ascii="Arial Narrow" w:eastAsia="Calibri" w:hAnsi="Arial Narrow" w:cs="Times New Roman"/>
          <w:sz w:val="24"/>
        </w:rPr>
      </w:pPr>
    </w:p>
    <w:p w:rsidR="00FA70F0" w:rsidRPr="005272F3" w:rsidRDefault="00D548D6" w:rsidP="005F26B0">
      <w:pPr>
        <w:pStyle w:val="Akapitzlist"/>
        <w:ind w:left="106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Zobowiązania za cały 2010 rok wynoszą 72.000,00 zł.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Zobowiązani</w:t>
      </w:r>
      <w:r w:rsidR="006F759E">
        <w:rPr>
          <w:b/>
          <w:sz w:val="24"/>
          <w:szCs w:val="24"/>
        </w:rPr>
        <w:t>a za I i II 2011 roku wynoszą 21</w:t>
      </w:r>
      <w:r>
        <w:rPr>
          <w:b/>
          <w:sz w:val="24"/>
          <w:szCs w:val="24"/>
        </w:rPr>
        <w:t>.000,00 zł.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A70F0" w:rsidRPr="005272F3" w:rsidRDefault="00FA70F0" w:rsidP="00643E74">
      <w:pPr>
        <w:pStyle w:val="Akapitzlist"/>
        <w:spacing w:after="0"/>
        <w:ind w:left="1065"/>
        <w:jc w:val="both"/>
        <w:rPr>
          <w:b/>
          <w:sz w:val="24"/>
          <w:szCs w:val="24"/>
        </w:rPr>
      </w:pPr>
    </w:p>
    <w:p w:rsidR="00D548D6" w:rsidRPr="00643E74" w:rsidRDefault="00D548D6" w:rsidP="00643E74">
      <w:pPr>
        <w:pStyle w:val="Akapitzlist"/>
        <w:numPr>
          <w:ilvl w:val="0"/>
          <w:numId w:val="3"/>
        </w:numPr>
        <w:jc w:val="both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Prognoza finansowa na 2011 rok</w:t>
      </w:r>
    </w:p>
    <w:p w:rsidR="007F4126" w:rsidRPr="00ED4518" w:rsidRDefault="00ED4518" w:rsidP="005F26B0">
      <w:pPr>
        <w:pStyle w:val="Akapitzlist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548D6" w:rsidRPr="00D548D6">
        <w:rPr>
          <w:sz w:val="24"/>
          <w:szCs w:val="24"/>
        </w:rPr>
        <w:t xml:space="preserve">Stowarzyszenie DIROW </w:t>
      </w:r>
      <w:r w:rsidR="00D548D6">
        <w:rPr>
          <w:sz w:val="24"/>
          <w:szCs w:val="24"/>
        </w:rPr>
        <w:t xml:space="preserve"> </w:t>
      </w:r>
      <w:r w:rsidR="002944C6">
        <w:rPr>
          <w:sz w:val="24"/>
          <w:szCs w:val="24"/>
        </w:rPr>
        <w:t xml:space="preserve">w połowie 2010 roku zaczęło </w:t>
      </w:r>
      <w:r w:rsidR="00CF0200">
        <w:rPr>
          <w:sz w:val="24"/>
          <w:szCs w:val="24"/>
        </w:rPr>
        <w:t>tracić płynność finansową. Pierwszą przyczyną tego stanu rzeczy była przewlekła</w:t>
      </w:r>
      <w:r w:rsidR="00D548D6">
        <w:rPr>
          <w:sz w:val="24"/>
          <w:szCs w:val="24"/>
        </w:rPr>
        <w:t xml:space="preserve"> </w:t>
      </w:r>
      <w:r w:rsidR="00CF0200">
        <w:rPr>
          <w:sz w:val="24"/>
          <w:szCs w:val="24"/>
        </w:rPr>
        <w:t xml:space="preserve">procedura odzyskiwania płatności za 2009 rok </w:t>
      </w:r>
      <w:r>
        <w:rPr>
          <w:sz w:val="24"/>
          <w:szCs w:val="24"/>
        </w:rPr>
        <w:t xml:space="preserve">(trwa do dziś) </w:t>
      </w:r>
      <w:r w:rsidR="00CF0200">
        <w:rPr>
          <w:sz w:val="24"/>
          <w:szCs w:val="24"/>
        </w:rPr>
        <w:t xml:space="preserve">oraz za pierwsze </w:t>
      </w:r>
      <w:r w:rsidR="00117EBA">
        <w:rPr>
          <w:sz w:val="24"/>
          <w:szCs w:val="24"/>
        </w:rPr>
        <w:t xml:space="preserve">dwa </w:t>
      </w:r>
      <w:r w:rsidR="00CF0200">
        <w:rPr>
          <w:sz w:val="24"/>
          <w:szCs w:val="24"/>
        </w:rPr>
        <w:t xml:space="preserve">etapy 2010 roku. Druga to brak zdecydowanych kroków w celu uzyskania kredytu bankowego na rachunku bieżącym lub pożyczki z Banku Gospodarstwa Krajowego. </w:t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0200">
        <w:rPr>
          <w:sz w:val="24"/>
          <w:szCs w:val="24"/>
        </w:rPr>
        <w:t>Obecnie DIROW jest przed podpisaniem umowy na Funkcjonowanie do końca okresu programowego. Budżet LGD w 2011 roku to:</w:t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</w:r>
      <w:r w:rsidR="00CF0200">
        <w:rPr>
          <w:sz w:val="24"/>
          <w:szCs w:val="24"/>
        </w:rPr>
        <w:tab/>
        <w:t xml:space="preserve">a) I etap (I półrocze) – </w:t>
      </w:r>
      <w:r w:rsidR="00CF0200" w:rsidRPr="00CF0200">
        <w:rPr>
          <w:sz w:val="24"/>
          <w:szCs w:val="24"/>
        </w:rPr>
        <w:t>152</w:t>
      </w:r>
      <w:r w:rsidR="00CF0200">
        <w:rPr>
          <w:sz w:val="24"/>
          <w:szCs w:val="24"/>
        </w:rPr>
        <w:t>.</w:t>
      </w:r>
      <w:r w:rsidR="00CF0200" w:rsidRPr="00CF0200">
        <w:rPr>
          <w:sz w:val="24"/>
          <w:szCs w:val="24"/>
        </w:rPr>
        <w:t>031</w:t>
      </w:r>
      <w:r w:rsidR="00CF0200">
        <w:rPr>
          <w:sz w:val="24"/>
          <w:szCs w:val="24"/>
        </w:rPr>
        <w:t>,00 zł.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F0200" w:rsidRPr="00ED4518">
        <w:rPr>
          <w:b/>
          <w:sz w:val="24"/>
          <w:szCs w:val="24"/>
        </w:rPr>
        <w:tab/>
      </w:r>
      <w:r w:rsidR="00CF0200" w:rsidRPr="00ED4518">
        <w:rPr>
          <w:b/>
          <w:sz w:val="24"/>
          <w:szCs w:val="24"/>
        </w:rPr>
        <w:tab/>
      </w:r>
      <w:r w:rsidR="00CF0200" w:rsidRPr="00ED4518">
        <w:rPr>
          <w:sz w:val="24"/>
          <w:szCs w:val="24"/>
        </w:rPr>
        <w:t>b) II etap (II półrocze) – 185.065,95 zł.</w:t>
      </w:r>
      <w:r w:rsidR="00CF0200" w:rsidRPr="00ED4518">
        <w:rPr>
          <w:sz w:val="24"/>
          <w:szCs w:val="24"/>
        </w:rPr>
        <w:tab/>
      </w:r>
      <w:r w:rsidR="00CF0200" w:rsidRPr="00ED4518">
        <w:rPr>
          <w:sz w:val="24"/>
          <w:szCs w:val="24"/>
        </w:rPr>
        <w:tab/>
      </w:r>
      <w:r w:rsidR="00CF0200" w:rsidRPr="00ED4518">
        <w:rPr>
          <w:sz w:val="24"/>
          <w:szCs w:val="24"/>
        </w:rPr>
        <w:tab/>
      </w:r>
      <w:r w:rsidR="00CF0200" w:rsidRPr="00ED4518">
        <w:rPr>
          <w:sz w:val="24"/>
          <w:szCs w:val="24"/>
        </w:rPr>
        <w:tab/>
      </w:r>
      <w:r w:rsidR="00CF0200" w:rsidRPr="00ED4518">
        <w:rPr>
          <w:sz w:val="24"/>
          <w:szCs w:val="24"/>
        </w:rPr>
        <w:tab/>
      </w:r>
      <w:r>
        <w:rPr>
          <w:sz w:val="24"/>
          <w:szCs w:val="24"/>
        </w:rPr>
        <w:t>Bieżące f</w:t>
      </w:r>
      <w:r w:rsidR="00CF0200" w:rsidRPr="00ED4518">
        <w:rPr>
          <w:sz w:val="24"/>
          <w:szCs w:val="24"/>
        </w:rPr>
        <w:t xml:space="preserve">inansowanie tak ambitnego budżetu może odbywać </w:t>
      </w:r>
      <w:r w:rsidR="00643E74">
        <w:rPr>
          <w:sz w:val="24"/>
          <w:szCs w:val="24"/>
        </w:rPr>
        <w:t>na </w:t>
      </w:r>
      <w:r w:rsidR="00CF0200" w:rsidRPr="00ED4518">
        <w:rPr>
          <w:sz w:val="24"/>
          <w:szCs w:val="24"/>
        </w:rPr>
        <w:t>następujących warunkach: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>a) plan A – uzyskanie 20% zaliczki z ARiMR do końca okresu programowego poprzez poręczenie gwarancji bankowej na ok. 300.000,00 zł.</w:t>
      </w:r>
      <w:r w:rsidR="007F4126" w:rsidRPr="00ED4518">
        <w:rPr>
          <w:sz w:val="24"/>
          <w:szCs w:val="24"/>
        </w:rPr>
        <w:tab/>
      </w:r>
      <w:r w:rsidR="007F4126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>b) plan B - uzyskanie 1% pożyczk</w:t>
      </w:r>
      <w:r w:rsidR="005F26B0">
        <w:rPr>
          <w:sz w:val="24"/>
          <w:szCs w:val="24"/>
        </w:rPr>
        <w:t>i z BGK na obsługę 80% kwoty na </w:t>
      </w:r>
      <w:r w:rsidR="00117EBA" w:rsidRPr="00ED4518">
        <w:rPr>
          <w:sz w:val="24"/>
          <w:szCs w:val="24"/>
        </w:rPr>
        <w:t>funkcjonowanie.</w:t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</w:r>
      <w:r w:rsidR="00117EBA" w:rsidRPr="00ED4518">
        <w:rPr>
          <w:sz w:val="24"/>
          <w:szCs w:val="24"/>
        </w:rPr>
        <w:tab/>
        <w:t>W planie A gminy nie wyraziły entuzjazmu, a potrzebne było solidarne poręcznie wszystkich gmin</w:t>
      </w:r>
      <w:r w:rsidR="002944C6">
        <w:rPr>
          <w:sz w:val="24"/>
          <w:szCs w:val="24"/>
        </w:rPr>
        <w:t xml:space="preserve"> zgodnie z parytetem ludnościowym</w:t>
      </w:r>
      <w:r w:rsidR="00117EBA" w:rsidRPr="00ED4518">
        <w:rPr>
          <w:sz w:val="24"/>
          <w:szCs w:val="24"/>
        </w:rPr>
        <w:t xml:space="preserve">. W planie B problemem jest zabezpieczenie </w:t>
      </w:r>
      <w:r>
        <w:rPr>
          <w:sz w:val="24"/>
          <w:szCs w:val="24"/>
        </w:rPr>
        <w:t xml:space="preserve">bieżącego </w:t>
      </w:r>
      <w:r w:rsidR="00117EBA" w:rsidRPr="00ED4518">
        <w:rPr>
          <w:sz w:val="24"/>
          <w:szCs w:val="24"/>
        </w:rPr>
        <w:t>finansowania 20 % części nie objętej pożyczką. To niemal 68.000,00 zł. Kwota ta może zostać zabezpieczona w</w:t>
      </w:r>
      <w:r w:rsidR="005F26B0">
        <w:rPr>
          <w:sz w:val="24"/>
          <w:szCs w:val="24"/>
        </w:rPr>
        <w:t> </w:t>
      </w:r>
      <w:r w:rsidR="00117EBA" w:rsidRPr="00ED4518">
        <w:rPr>
          <w:sz w:val="24"/>
          <w:szCs w:val="24"/>
        </w:rPr>
        <w:t xml:space="preserve">przypadku utrzymania </w:t>
      </w:r>
      <w:r>
        <w:rPr>
          <w:sz w:val="24"/>
          <w:szCs w:val="24"/>
        </w:rPr>
        <w:t xml:space="preserve">w 2011 roku </w:t>
      </w:r>
      <w:r w:rsidR="00117EBA" w:rsidRPr="00ED4518">
        <w:rPr>
          <w:sz w:val="24"/>
          <w:szCs w:val="24"/>
        </w:rPr>
        <w:t xml:space="preserve">składki na obecnym poziomie, </w:t>
      </w:r>
      <w:r w:rsidR="00643E74">
        <w:rPr>
          <w:sz w:val="24"/>
          <w:szCs w:val="24"/>
        </w:rPr>
        <w:t>czyli 1zł od </w:t>
      </w:r>
      <w:r>
        <w:rPr>
          <w:sz w:val="24"/>
          <w:szCs w:val="24"/>
        </w:rPr>
        <w:t xml:space="preserve">mieszkańca.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944C6">
        <w:rPr>
          <w:sz w:val="24"/>
          <w:szCs w:val="24"/>
        </w:rPr>
        <w:tab/>
      </w:r>
      <w:r w:rsidR="002944C6">
        <w:rPr>
          <w:sz w:val="24"/>
          <w:szCs w:val="24"/>
        </w:rPr>
        <w:tab/>
      </w:r>
      <w:r w:rsidR="002944C6">
        <w:rPr>
          <w:sz w:val="24"/>
          <w:szCs w:val="24"/>
        </w:rPr>
        <w:tab/>
      </w:r>
      <w:r w:rsidR="007F4126" w:rsidRPr="00ED4518">
        <w:rPr>
          <w:sz w:val="24"/>
          <w:szCs w:val="24"/>
        </w:rPr>
        <w:t>Równolegle czynione są starania o refundację kosztów kwalifikowanych za lata 2009-10. Stan tych działań jest obecnie następujący:</w:t>
      </w:r>
      <w:r w:rsidR="007F4126" w:rsidRPr="00ED4518">
        <w:rPr>
          <w:sz w:val="24"/>
          <w:szCs w:val="24"/>
        </w:rPr>
        <w:tab/>
      </w:r>
      <w:r w:rsidR="007F4126" w:rsidRPr="00ED4518">
        <w:rPr>
          <w:sz w:val="24"/>
          <w:szCs w:val="24"/>
        </w:rPr>
        <w:tab/>
      </w:r>
      <w:r w:rsidR="007F4126" w:rsidRPr="00ED4518">
        <w:rPr>
          <w:sz w:val="24"/>
          <w:szCs w:val="24"/>
        </w:rPr>
        <w:tab/>
      </w:r>
      <w:r w:rsidR="007F4126" w:rsidRPr="00ED4518">
        <w:rPr>
          <w:sz w:val="24"/>
          <w:szCs w:val="24"/>
        </w:rPr>
        <w:tab/>
      </w:r>
      <w:r w:rsidR="007F4126" w:rsidRPr="00ED4518">
        <w:rPr>
          <w:sz w:val="24"/>
          <w:szCs w:val="24"/>
        </w:rPr>
        <w:lastRenderedPageBreak/>
        <w:tab/>
        <w:t>a) wniosek o płatność za rok 2009 w wysokości 56.111,84 zł. ; do dnia dzisiejszego nie wpłynął jeszcze przelew z ARiMR w Warszawie; czas oczekiwania wynosi już 6 tygodni</w:t>
      </w:r>
      <w:r w:rsidR="00394A4F" w:rsidRPr="00ED4518">
        <w:rPr>
          <w:sz w:val="24"/>
          <w:szCs w:val="24"/>
        </w:rPr>
        <w:t xml:space="preserve">; spodziewana kwota </w:t>
      </w:r>
      <w:r w:rsidR="002944C6">
        <w:rPr>
          <w:sz w:val="24"/>
          <w:szCs w:val="24"/>
        </w:rPr>
        <w:t xml:space="preserve">po </w:t>
      </w:r>
      <w:r w:rsidR="005F26B0">
        <w:rPr>
          <w:sz w:val="24"/>
          <w:szCs w:val="24"/>
        </w:rPr>
        <w:t>odliczeniu niekwalifikowanego w </w:t>
      </w:r>
      <w:r w:rsidR="002944C6">
        <w:rPr>
          <w:sz w:val="24"/>
          <w:szCs w:val="24"/>
        </w:rPr>
        <w:t xml:space="preserve">2009 roku VAT </w:t>
      </w:r>
      <w:r w:rsidR="00394A4F" w:rsidRPr="00ED4518">
        <w:rPr>
          <w:sz w:val="24"/>
          <w:szCs w:val="24"/>
        </w:rPr>
        <w:t>ok. 43.000,00 zł.</w:t>
      </w:r>
      <w:r w:rsidR="007F4126" w:rsidRPr="00ED4518">
        <w:rPr>
          <w:sz w:val="24"/>
          <w:szCs w:val="24"/>
        </w:rPr>
        <w:t xml:space="preserve"> </w:t>
      </w:r>
    </w:p>
    <w:p w:rsidR="007F4126" w:rsidRPr="005A7042" w:rsidRDefault="00394A4F" w:rsidP="005F26B0">
      <w:pPr>
        <w:pStyle w:val="Akapitzlist"/>
        <w:numPr>
          <w:ilvl w:val="0"/>
          <w:numId w:val="9"/>
        </w:numPr>
        <w:jc w:val="both"/>
        <w:rPr>
          <w:sz w:val="24"/>
          <w:szCs w:val="24"/>
          <w:u w:val="single"/>
        </w:rPr>
      </w:pPr>
      <w:r w:rsidRPr="005A7042">
        <w:rPr>
          <w:sz w:val="24"/>
          <w:szCs w:val="24"/>
        </w:rPr>
        <w:t xml:space="preserve">wniosek o płatność za I etap </w:t>
      </w:r>
      <w:r>
        <w:rPr>
          <w:sz w:val="24"/>
          <w:szCs w:val="24"/>
        </w:rPr>
        <w:t xml:space="preserve">2010 roku </w:t>
      </w:r>
      <w:r w:rsidR="007F4126" w:rsidRPr="005A7042">
        <w:rPr>
          <w:sz w:val="24"/>
          <w:szCs w:val="24"/>
        </w:rPr>
        <w:t>jest aktualnie po drugich poprawkach, oczekując n</w:t>
      </w:r>
      <w:r w:rsidR="002944C6">
        <w:rPr>
          <w:sz w:val="24"/>
          <w:szCs w:val="24"/>
        </w:rPr>
        <w:t>a autoryzację w Wydziale PROW Urzędu</w:t>
      </w:r>
      <w:r w:rsidR="007F4126" w:rsidRPr="005A7042">
        <w:rPr>
          <w:sz w:val="24"/>
          <w:szCs w:val="24"/>
        </w:rPr>
        <w:t xml:space="preserve"> Marszałkowskim 2010 roku</w:t>
      </w:r>
      <w:r>
        <w:rPr>
          <w:sz w:val="24"/>
          <w:szCs w:val="24"/>
        </w:rPr>
        <w:t>; kwota wnioskowana –</w:t>
      </w:r>
      <w:r w:rsidR="007F4126" w:rsidRPr="005A7042">
        <w:rPr>
          <w:sz w:val="24"/>
          <w:szCs w:val="24"/>
        </w:rPr>
        <w:t xml:space="preserve"> 38</w:t>
      </w:r>
      <w:r>
        <w:rPr>
          <w:sz w:val="24"/>
          <w:szCs w:val="24"/>
        </w:rPr>
        <w:t>.</w:t>
      </w:r>
      <w:r w:rsidR="007F4126" w:rsidRPr="005A7042">
        <w:rPr>
          <w:sz w:val="24"/>
          <w:szCs w:val="24"/>
        </w:rPr>
        <w:t>337,97 zł.</w:t>
      </w:r>
      <w:r w:rsidR="005F26B0">
        <w:rPr>
          <w:sz w:val="24"/>
          <w:szCs w:val="24"/>
        </w:rPr>
        <w:t>, przy </w:t>
      </w:r>
      <w:r w:rsidR="002944C6">
        <w:rPr>
          <w:sz w:val="24"/>
          <w:szCs w:val="24"/>
        </w:rPr>
        <w:t>czym VAT w 2010 roku jest kosztem kwalifikowanym po uzyskaniu Indywidualnej Interpretacji Podatkowej o</w:t>
      </w:r>
      <w:r w:rsidR="005F26B0">
        <w:rPr>
          <w:sz w:val="24"/>
          <w:szCs w:val="24"/>
        </w:rPr>
        <w:t>d Izby Skarbowej w Bydgoszczy w </w:t>
      </w:r>
      <w:r w:rsidR="002944C6">
        <w:rPr>
          <w:sz w:val="24"/>
          <w:szCs w:val="24"/>
        </w:rPr>
        <w:t>listopadzie 2010 roku,</w:t>
      </w:r>
    </w:p>
    <w:p w:rsidR="007F4126" w:rsidRPr="005A7042" w:rsidRDefault="007F4126" w:rsidP="005F26B0">
      <w:pPr>
        <w:pStyle w:val="Akapitzlist"/>
        <w:numPr>
          <w:ilvl w:val="0"/>
          <w:numId w:val="9"/>
        </w:numPr>
        <w:jc w:val="both"/>
        <w:rPr>
          <w:sz w:val="24"/>
          <w:szCs w:val="24"/>
          <w:u w:val="single"/>
        </w:rPr>
      </w:pPr>
      <w:r w:rsidRPr="005A7042">
        <w:rPr>
          <w:sz w:val="24"/>
          <w:szCs w:val="24"/>
        </w:rPr>
        <w:t xml:space="preserve"> </w:t>
      </w:r>
      <w:r w:rsidR="00394A4F" w:rsidRPr="005A7042">
        <w:rPr>
          <w:sz w:val="24"/>
          <w:szCs w:val="24"/>
        </w:rPr>
        <w:t>wniosek o płatność za II etap 2010 roku</w:t>
      </w:r>
      <w:r w:rsidRPr="005A7042">
        <w:rPr>
          <w:sz w:val="24"/>
          <w:szCs w:val="24"/>
        </w:rPr>
        <w:t xml:space="preserve"> jest akt</w:t>
      </w:r>
      <w:r w:rsidR="00394A4F">
        <w:rPr>
          <w:sz w:val="24"/>
          <w:szCs w:val="24"/>
        </w:rPr>
        <w:t>ualnie po pierwszych poprawkach; kwota wnioskowana –</w:t>
      </w:r>
      <w:r w:rsidRPr="005A7042">
        <w:rPr>
          <w:sz w:val="24"/>
          <w:szCs w:val="24"/>
        </w:rPr>
        <w:t xml:space="preserve"> 50</w:t>
      </w:r>
      <w:r w:rsidR="00394A4F">
        <w:rPr>
          <w:sz w:val="24"/>
          <w:szCs w:val="24"/>
        </w:rPr>
        <w:t>.</w:t>
      </w:r>
      <w:r w:rsidRPr="005A7042">
        <w:rPr>
          <w:sz w:val="24"/>
          <w:szCs w:val="24"/>
        </w:rPr>
        <w:t>926,72 zł.</w:t>
      </w:r>
    </w:p>
    <w:p w:rsidR="007F4126" w:rsidRPr="00394A4F" w:rsidRDefault="00394A4F" w:rsidP="005F26B0">
      <w:pPr>
        <w:pStyle w:val="Akapitzlist"/>
        <w:numPr>
          <w:ilvl w:val="0"/>
          <w:numId w:val="9"/>
        </w:num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z</w:t>
      </w:r>
      <w:r w:rsidR="007F4126" w:rsidRPr="005A7042">
        <w:rPr>
          <w:sz w:val="24"/>
          <w:szCs w:val="24"/>
        </w:rPr>
        <w:t xml:space="preserve">ostał złożony wniosek o zmianę umowy </w:t>
      </w:r>
      <w:r w:rsidR="005F26B0">
        <w:rPr>
          <w:sz w:val="24"/>
          <w:szCs w:val="24"/>
        </w:rPr>
        <w:t>w formie aneksu do umowy na </w:t>
      </w:r>
      <w:r w:rsidR="007F4126" w:rsidRPr="005A7042">
        <w:rPr>
          <w:sz w:val="24"/>
          <w:szCs w:val="24"/>
        </w:rPr>
        <w:t>funkcjonowanie  LGD  w sprawie połączenia  III i IV etapu, który został zaakceptowany przez jednostkę wdrażającą i czeka na podpisanie umowy</w:t>
      </w:r>
      <w:r>
        <w:rPr>
          <w:sz w:val="24"/>
          <w:szCs w:val="24"/>
        </w:rPr>
        <w:t xml:space="preserve"> w najbliższy wtorek; kwota</w:t>
      </w:r>
      <w:r w:rsidR="007F4126" w:rsidRPr="005A7042">
        <w:rPr>
          <w:sz w:val="24"/>
          <w:szCs w:val="24"/>
        </w:rPr>
        <w:t>, o jaką ubiegać się będzie Stowarzyszenie, wynosi 47</w:t>
      </w:r>
      <w:r w:rsidR="002944C6">
        <w:rPr>
          <w:sz w:val="24"/>
          <w:szCs w:val="24"/>
        </w:rPr>
        <w:t>.</w:t>
      </w:r>
      <w:r w:rsidR="007F4126" w:rsidRPr="005A7042">
        <w:rPr>
          <w:sz w:val="24"/>
          <w:szCs w:val="24"/>
        </w:rPr>
        <w:t>612,05 zł.</w:t>
      </w:r>
      <w:r>
        <w:rPr>
          <w:sz w:val="24"/>
          <w:szCs w:val="24"/>
        </w:rPr>
        <w:t>, przy czym najpierw DIROW musi oddać pobraną zaliczkę z ARiMR w wysokości ok. 43.000,00 zł.</w:t>
      </w:r>
    </w:p>
    <w:p w:rsidR="00643E74" w:rsidRDefault="00394A4F" w:rsidP="00643E74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94A4F">
        <w:rPr>
          <w:sz w:val="24"/>
          <w:szCs w:val="24"/>
        </w:rPr>
        <w:t xml:space="preserve">Po </w:t>
      </w:r>
      <w:r>
        <w:rPr>
          <w:sz w:val="24"/>
          <w:szCs w:val="24"/>
        </w:rPr>
        <w:t xml:space="preserve">zsumowaniu wszystkich kwot kwalifikowanych kosztów </w:t>
      </w:r>
      <w:r w:rsidR="00DD32B9">
        <w:rPr>
          <w:sz w:val="24"/>
          <w:szCs w:val="24"/>
        </w:rPr>
        <w:t xml:space="preserve">z wyszczególnionych wyżej czterech etapów (179.000,00) </w:t>
      </w:r>
      <w:r>
        <w:rPr>
          <w:sz w:val="24"/>
          <w:szCs w:val="24"/>
        </w:rPr>
        <w:t>i po odliczeniu zobowiązań za 2010 i 2011 (93.000,</w:t>
      </w:r>
      <w:r w:rsidR="005F26B0">
        <w:rPr>
          <w:sz w:val="24"/>
          <w:szCs w:val="24"/>
        </w:rPr>
        <w:t>00 zł.) oraz </w:t>
      </w:r>
      <w:r>
        <w:rPr>
          <w:sz w:val="24"/>
          <w:szCs w:val="24"/>
        </w:rPr>
        <w:t>zwrocie zaliczki za 2010 rok prognozować można nad</w:t>
      </w:r>
      <w:r w:rsidR="00DD32B9">
        <w:rPr>
          <w:sz w:val="24"/>
          <w:szCs w:val="24"/>
        </w:rPr>
        <w:t>wyżkę około 43</w:t>
      </w:r>
      <w:r>
        <w:rPr>
          <w:sz w:val="24"/>
          <w:szCs w:val="24"/>
        </w:rPr>
        <w:t xml:space="preserve">.000,00 zł. </w:t>
      </w:r>
      <w:r w:rsidR="002D2E4C">
        <w:rPr>
          <w:sz w:val="24"/>
          <w:szCs w:val="24"/>
        </w:rPr>
        <w:t xml:space="preserve"> Biorąc pod uwagę przewlekłe procedury, sukcesem będzie jeśli proces ten zamknie się do końca 2011 roku. </w:t>
      </w:r>
      <w:r w:rsidR="00DD32B9">
        <w:rPr>
          <w:sz w:val="24"/>
          <w:szCs w:val="24"/>
        </w:rPr>
        <w:t>Aby utrzymać płynność finansowa stowarzyszenia w następnych latach, s</w:t>
      </w:r>
      <w:r>
        <w:rPr>
          <w:sz w:val="24"/>
          <w:szCs w:val="24"/>
        </w:rPr>
        <w:t xml:space="preserve">kładka członkowska od gmin w następnych latach powinna </w:t>
      </w:r>
      <w:r w:rsidR="00DD32B9">
        <w:rPr>
          <w:sz w:val="24"/>
          <w:szCs w:val="24"/>
        </w:rPr>
        <w:t>rozkładać się</w:t>
      </w:r>
      <w:r>
        <w:rPr>
          <w:sz w:val="24"/>
          <w:szCs w:val="24"/>
        </w:rPr>
        <w:t xml:space="preserve"> na poziomie: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D2E4C">
        <w:rPr>
          <w:sz w:val="24"/>
          <w:szCs w:val="24"/>
        </w:rPr>
        <w:tab/>
      </w:r>
    </w:p>
    <w:p w:rsidR="002D2E4C" w:rsidRDefault="00394A4F" w:rsidP="00643E74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DD32B9">
        <w:rPr>
          <w:sz w:val="24"/>
          <w:szCs w:val="24"/>
        </w:rPr>
        <w:t xml:space="preserve">1,00 zł. – 2011 rok – łącznie </w:t>
      </w:r>
      <w:r w:rsidR="00D54AD6">
        <w:rPr>
          <w:sz w:val="24"/>
          <w:szCs w:val="24"/>
        </w:rPr>
        <w:t xml:space="preserve">gminy </w:t>
      </w:r>
      <w:r w:rsidR="00DD32B9">
        <w:rPr>
          <w:sz w:val="24"/>
          <w:szCs w:val="24"/>
        </w:rPr>
        <w:t>62 tys. zł.</w:t>
      </w:r>
      <w:r w:rsidR="00643E74">
        <w:rPr>
          <w:sz w:val="24"/>
          <w:szCs w:val="24"/>
        </w:rPr>
        <w:t>,</w:t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DD32B9">
        <w:rPr>
          <w:sz w:val="24"/>
          <w:szCs w:val="24"/>
        </w:rPr>
        <w:t>b) 0,50 zł. –</w:t>
      </w:r>
      <w:r w:rsidR="00643E74">
        <w:rPr>
          <w:sz w:val="24"/>
          <w:szCs w:val="24"/>
        </w:rPr>
        <w:t xml:space="preserve"> 2012 rok – 31 tys. zł.,</w:t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DD32B9">
        <w:rPr>
          <w:sz w:val="24"/>
          <w:szCs w:val="24"/>
        </w:rPr>
        <w:t>c) 0,20 zł. -  2013 rok – 1240</w:t>
      </w:r>
      <w:r w:rsidR="00ED4518">
        <w:rPr>
          <w:sz w:val="24"/>
          <w:szCs w:val="24"/>
        </w:rPr>
        <w:t>0</w:t>
      </w:r>
      <w:r w:rsidR="00643E74">
        <w:rPr>
          <w:sz w:val="24"/>
          <w:szCs w:val="24"/>
        </w:rPr>
        <w:t xml:space="preserve"> zł,</w:t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643E74">
        <w:rPr>
          <w:sz w:val="24"/>
          <w:szCs w:val="24"/>
        </w:rPr>
        <w:tab/>
      </w:r>
      <w:r w:rsidR="00DD32B9">
        <w:rPr>
          <w:sz w:val="24"/>
          <w:szCs w:val="24"/>
        </w:rPr>
        <w:t>d) 0,10 zł. – 2014 rok – 620</w:t>
      </w:r>
      <w:r w:rsidR="00ED4518">
        <w:rPr>
          <w:sz w:val="24"/>
          <w:szCs w:val="24"/>
        </w:rPr>
        <w:t>0</w:t>
      </w:r>
      <w:r w:rsidR="00643E74">
        <w:rPr>
          <w:sz w:val="24"/>
          <w:szCs w:val="24"/>
        </w:rPr>
        <w:t xml:space="preserve"> </w:t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  <w:t>e) 0,05 zł. – 2015 rok</w:t>
      </w:r>
      <w:r w:rsidR="00643E74">
        <w:rPr>
          <w:sz w:val="24"/>
          <w:szCs w:val="24"/>
        </w:rPr>
        <w:t xml:space="preserve"> – </w:t>
      </w:r>
      <w:r w:rsidR="00D54AD6">
        <w:rPr>
          <w:sz w:val="24"/>
          <w:szCs w:val="24"/>
        </w:rPr>
        <w:t>310</w:t>
      </w:r>
      <w:r w:rsidR="00ED4518">
        <w:rPr>
          <w:sz w:val="24"/>
          <w:szCs w:val="24"/>
        </w:rPr>
        <w:t>0</w:t>
      </w:r>
      <w:r w:rsidR="00D54AD6">
        <w:rPr>
          <w:sz w:val="24"/>
          <w:szCs w:val="24"/>
        </w:rPr>
        <w:t xml:space="preserve"> zł.</w:t>
      </w:r>
    </w:p>
    <w:p w:rsidR="00394A4F" w:rsidRPr="00394A4F" w:rsidRDefault="002D2E4C" w:rsidP="00643E74">
      <w:pPr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Należy zauważyć, że im bliżej końca okresu programowego, tym realniejsza stanie się perspektywa finansowa nowego okresu 2013 – 2020. Do tego czasu składki zostaną skumulowane na poziomie ok. 250 tys. zł., czyli niemal rocznych potrzeb DIROW do obsługi osi 4 PROW. Oczywiście w ślad za tym musi iść polityka ponoszenia kosztów tylko kwalifikowanych i unikania kosztów</w:t>
      </w:r>
      <w:r w:rsidR="00D54AD6">
        <w:rPr>
          <w:sz w:val="24"/>
          <w:szCs w:val="24"/>
        </w:rPr>
        <w:tab/>
      </w:r>
      <w:r>
        <w:rPr>
          <w:sz w:val="24"/>
          <w:szCs w:val="24"/>
        </w:rPr>
        <w:t>niekwalifikowanych.</w:t>
      </w:r>
      <w:r w:rsidR="00D54AD6">
        <w:rPr>
          <w:sz w:val="24"/>
          <w:szCs w:val="24"/>
        </w:rPr>
        <w:tab/>
      </w:r>
      <w:r>
        <w:rPr>
          <w:sz w:val="24"/>
          <w:szCs w:val="24"/>
        </w:rPr>
        <w:t>Ponadto mając płynność finansowa stowarzyszenie będzie mogło uczestniczyć innych programach unijnych.</w:t>
      </w:r>
      <w:r w:rsidR="00D54AD6">
        <w:rPr>
          <w:sz w:val="24"/>
          <w:szCs w:val="24"/>
        </w:rPr>
        <w:tab/>
      </w:r>
      <w:r w:rsidR="00D54AD6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  <w:r w:rsidR="00DD32B9">
        <w:rPr>
          <w:sz w:val="24"/>
          <w:szCs w:val="24"/>
        </w:rPr>
        <w:tab/>
      </w:r>
    </w:p>
    <w:p w:rsidR="00ED4518" w:rsidRDefault="007A0D9D" w:rsidP="00ED4518">
      <w:pPr>
        <w:pStyle w:val="Akapitzlist"/>
        <w:numPr>
          <w:ilvl w:val="0"/>
          <w:numId w:val="3"/>
        </w:numPr>
        <w:rPr>
          <w:sz w:val="32"/>
          <w:szCs w:val="32"/>
          <w:u w:val="single"/>
        </w:rPr>
      </w:pPr>
      <w:r w:rsidRPr="00ED4518">
        <w:rPr>
          <w:sz w:val="24"/>
          <w:szCs w:val="24"/>
        </w:rPr>
        <w:lastRenderedPageBreak/>
        <w:t xml:space="preserve"> </w:t>
      </w:r>
      <w:r w:rsidR="00ED4518" w:rsidRPr="00ED4518">
        <w:rPr>
          <w:sz w:val="32"/>
          <w:szCs w:val="32"/>
          <w:u w:val="single"/>
        </w:rPr>
        <w:t>P</w:t>
      </w:r>
      <w:r w:rsidR="00ED4518">
        <w:rPr>
          <w:sz w:val="32"/>
          <w:szCs w:val="32"/>
          <w:u w:val="single"/>
        </w:rPr>
        <w:t>lanowane wydatki w</w:t>
      </w:r>
      <w:r w:rsidR="00ED4518" w:rsidRPr="00ED4518">
        <w:rPr>
          <w:sz w:val="32"/>
          <w:szCs w:val="32"/>
          <w:u w:val="single"/>
        </w:rPr>
        <w:t xml:space="preserve"> 2011 rok</w:t>
      </w:r>
      <w:r w:rsidR="00ED4518">
        <w:rPr>
          <w:sz w:val="32"/>
          <w:szCs w:val="32"/>
          <w:u w:val="single"/>
        </w:rPr>
        <w:t>u.</w:t>
      </w:r>
    </w:p>
    <w:p w:rsidR="00C44E8A" w:rsidRDefault="00654D41" w:rsidP="00C44E8A">
      <w:pPr>
        <w:pStyle w:val="Akapitzlist"/>
        <w:ind w:left="1080"/>
        <w:rPr>
          <w:sz w:val="24"/>
          <w:szCs w:val="24"/>
        </w:rPr>
      </w:pPr>
      <w:r w:rsidRPr="00654D41">
        <w:rPr>
          <w:sz w:val="24"/>
          <w:szCs w:val="24"/>
        </w:rPr>
        <w:t xml:space="preserve">Na około miesiąc przed podpisaniem </w:t>
      </w:r>
      <w:r w:rsidR="00643E74">
        <w:rPr>
          <w:sz w:val="24"/>
          <w:szCs w:val="24"/>
        </w:rPr>
        <w:t>umowy na „Funkcjonowanie LGD” z </w:t>
      </w:r>
      <w:r w:rsidRPr="00654D41">
        <w:rPr>
          <w:sz w:val="24"/>
          <w:szCs w:val="24"/>
        </w:rPr>
        <w:t>okresem do końca programowania, tj.  do połowy 2015 roku warto przyjrzeć się kosztom kwalifikowanym, które przyjdzie się realizować tylko w 2011 roku, przy założeniu, że DIROW będzie miał najdalej od maja 2011 roku płynność finansową.</w:t>
      </w:r>
    </w:p>
    <w:p w:rsidR="00654D41" w:rsidRPr="00654D41" w:rsidRDefault="00654D41" w:rsidP="00C44E8A">
      <w:pPr>
        <w:pStyle w:val="Akapitzlist"/>
        <w:ind w:left="1080"/>
        <w:rPr>
          <w:sz w:val="24"/>
          <w:szCs w:val="24"/>
        </w:rPr>
      </w:pPr>
    </w:p>
    <w:p w:rsidR="00C44E8A" w:rsidRPr="00C44E8A" w:rsidRDefault="00C44E8A" w:rsidP="00C44E8A">
      <w:pPr>
        <w:pStyle w:val="Akapitzlist"/>
        <w:ind w:left="1080"/>
        <w:rPr>
          <w:sz w:val="32"/>
          <w:szCs w:val="32"/>
        </w:rPr>
      </w:pPr>
      <w:r w:rsidRPr="00C34201">
        <w:rPr>
          <w:sz w:val="32"/>
          <w:szCs w:val="32"/>
          <w:u w:val="single"/>
        </w:rPr>
        <w:t>Funkcjonowanie biura</w:t>
      </w:r>
      <w:r w:rsidRPr="00C44E8A">
        <w:rPr>
          <w:sz w:val="32"/>
          <w:szCs w:val="32"/>
        </w:rPr>
        <w:t>:</w:t>
      </w:r>
    </w:p>
    <w:p w:rsidR="00ED4518" w:rsidRDefault="00ED4518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C44E8A">
        <w:rPr>
          <w:sz w:val="24"/>
          <w:szCs w:val="24"/>
        </w:rPr>
        <w:t>Wynagrodzenie dla Pracowników Biura wraz z innymi świadczeniami  pracowniczymi o których mowa w KP oraz poniesionymi zgodnie z odrębnymi przepisami</w:t>
      </w:r>
      <w:r w:rsidR="00C44E8A">
        <w:rPr>
          <w:sz w:val="24"/>
          <w:szCs w:val="24"/>
        </w:rPr>
        <w:t>………………………………………………………….142.932,00 zł.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C44E8A">
        <w:rPr>
          <w:sz w:val="24"/>
          <w:szCs w:val="24"/>
        </w:rPr>
        <w:t>Koszty związane z pełnieniem funkcji  organów Stowarzyszenia w tym pracy organu decyzyjnego</w:t>
      </w:r>
      <w:r>
        <w:rPr>
          <w:sz w:val="24"/>
          <w:szCs w:val="24"/>
        </w:rPr>
        <w:t xml:space="preserve"> …………………………………………………….15.720,00 zł.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C44E8A">
        <w:rPr>
          <w:sz w:val="24"/>
          <w:szCs w:val="24"/>
        </w:rPr>
        <w:t>oszty najmu i utrzymania pomieszczeń biurowych wraz z opłatami</w:t>
      </w:r>
      <w:r>
        <w:rPr>
          <w:sz w:val="24"/>
          <w:szCs w:val="24"/>
        </w:rPr>
        <w:t>…………………………………………………………………………………18.400,00 zł.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C44E8A">
        <w:rPr>
          <w:sz w:val="24"/>
          <w:szCs w:val="24"/>
        </w:rPr>
        <w:t>oszty zakupu materiałów biurowych i drobnego sprzętu biurowego</w:t>
      </w:r>
      <w:r>
        <w:rPr>
          <w:sz w:val="24"/>
          <w:szCs w:val="24"/>
        </w:rPr>
        <w:t>………………………………………………………………………………..5.780,00 zł.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C44E8A">
        <w:rPr>
          <w:sz w:val="24"/>
          <w:szCs w:val="24"/>
        </w:rPr>
        <w:t xml:space="preserve">oszty związane z </w:t>
      </w:r>
      <w:r>
        <w:rPr>
          <w:sz w:val="24"/>
          <w:szCs w:val="24"/>
        </w:rPr>
        <w:t>wyposażeniem biura w tym w sprzę</w:t>
      </w:r>
      <w:r w:rsidRPr="00C44E8A">
        <w:rPr>
          <w:sz w:val="24"/>
          <w:szCs w:val="24"/>
        </w:rPr>
        <w:t>t komputerowy i elektryczny</w:t>
      </w:r>
      <w:r>
        <w:rPr>
          <w:sz w:val="24"/>
          <w:szCs w:val="24"/>
        </w:rPr>
        <w:t>……………………………………………………………………………….9.290,00 zł.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Pr="00C44E8A">
        <w:rPr>
          <w:sz w:val="24"/>
          <w:szCs w:val="24"/>
        </w:rPr>
        <w:t>sługi niezbędne do prawidłowego funkcjonowania LGD</w:t>
      </w:r>
      <w:r>
        <w:rPr>
          <w:sz w:val="24"/>
          <w:szCs w:val="24"/>
        </w:rPr>
        <w:t>………………………………………………………………………………………..47.000,00 zł.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Pr="00C44E8A">
        <w:rPr>
          <w:sz w:val="24"/>
          <w:szCs w:val="24"/>
        </w:rPr>
        <w:t>nne wydatki związane z funkcjonowaniem biura LGD</w:t>
      </w:r>
      <w:r>
        <w:rPr>
          <w:sz w:val="24"/>
          <w:szCs w:val="24"/>
        </w:rPr>
        <w:t>………………………………………………………………………………………….2.500,00 zł.</w:t>
      </w:r>
    </w:p>
    <w:p w:rsidR="00C34201" w:rsidRPr="00C34201" w:rsidRDefault="00C34201" w:rsidP="00C34201">
      <w:pPr>
        <w:rPr>
          <w:sz w:val="32"/>
          <w:szCs w:val="32"/>
        </w:rPr>
      </w:pPr>
      <w:r w:rsidRPr="00C34201">
        <w:rPr>
          <w:sz w:val="32"/>
          <w:szCs w:val="32"/>
        </w:rPr>
        <w:tab/>
      </w:r>
      <w:r w:rsidR="00643E74">
        <w:rPr>
          <w:sz w:val="32"/>
          <w:szCs w:val="32"/>
        </w:rPr>
        <w:t xml:space="preserve">          </w:t>
      </w:r>
      <w:r w:rsidRPr="00C34201">
        <w:rPr>
          <w:sz w:val="32"/>
          <w:szCs w:val="32"/>
          <w:u w:val="single"/>
        </w:rPr>
        <w:t>Nabywanie umiejętności i aktywizacja</w:t>
      </w:r>
      <w:r w:rsidRPr="00C34201">
        <w:rPr>
          <w:sz w:val="32"/>
          <w:szCs w:val="32"/>
        </w:rPr>
        <w:t>:</w:t>
      </w:r>
    </w:p>
    <w:p w:rsidR="00C44E8A" w:rsidRDefault="00C44E8A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Pr="00C44E8A">
        <w:rPr>
          <w:sz w:val="24"/>
          <w:szCs w:val="24"/>
        </w:rPr>
        <w:t>adania i pracowania wspierające rozwój obszaru objętego LSR</w:t>
      </w:r>
      <w:r>
        <w:rPr>
          <w:sz w:val="24"/>
          <w:szCs w:val="24"/>
        </w:rPr>
        <w:t>…………………………………………………………………………………………32.000,00 zł.</w:t>
      </w:r>
    </w:p>
    <w:p w:rsidR="00C44E8A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883D1C">
        <w:rPr>
          <w:sz w:val="24"/>
          <w:szCs w:val="24"/>
        </w:rPr>
        <w:t>oszty związane z informowaniem w mediach</w:t>
      </w:r>
      <w:r>
        <w:rPr>
          <w:sz w:val="24"/>
          <w:szCs w:val="24"/>
        </w:rPr>
        <w:t>…………………………2.880,00 zł.</w:t>
      </w:r>
    </w:p>
    <w:p w:rsidR="00883D1C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883D1C">
        <w:rPr>
          <w:sz w:val="24"/>
          <w:szCs w:val="24"/>
        </w:rPr>
        <w:t>ateriały promocyjne</w:t>
      </w:r>
      <w:r>
        <w:rPr>
          <w:sz w:val="24"/>
          <w:szCs w:val="24"/>
        </w:rPr>
        <w:t>…………………………………………………………….13.280,00 zł.</w:t>
      </w:r>
    </w:p>
    <w:p w:rsidR="00883D1C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883D1C">
        <w:rPr>
          <w:sz w:val="24"/>
          <w:szCs w:val="24"/>
        </w:rPr>
        <w:t>zkolenia / wyjazdy studyjne mające  na celu wymianę doświadczeń</w:t>
      </w:r>
      <w:r>
        <w:rPr>
          <w:sz w:val="24"/>
          <w:szCs w:val="24"/>
        </w:rPr>
        <w:t>…………………………………………………………………………… 4.700,00 zł.</w:t>
      </w:r>
    </w:p>
    <w:p w:rsidR="00883D1C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883D1C">
        <w:rPr>
          <w:sz w:val="24"/>
          <w:szCs w:val="24"/>
        </w:rPr>
        <w:t>zkole</w:t>
      </w:r>
      <w:r>
        <w:rPr>
          <w:sz w:val="24"/>
          <w:szCs w:val="24"/>
        </w:rPr>
        <w:t>ni</w:t>
      </w:r>
      <w:r w:rsidRPr="00883D1C">
        <w:rPr>
          <w:sz w:val="24"/>
          <w:szCs w:val="24"/>
        </w:rPr>
        <w:t xml:space="preserve">a </w:t>
      </w:r>
      <w:r>
        <w:rPr>
          <w:sz w:val="24"/>
          <w:szCs w:val="24"/>
        </w:rPr>
        <w:t>podnoszące kwalifikacje i umieję</w:t>
      </w:r>
      <w:r w:rsidRPr="00883D1C">
        <w:rPr>
          <w:sz w:val="24"/>
          <w:szCs w:val="24"/>
        </w:rPr>
        <w:t>tności zawodowe osób zaangażowanych w realizację LSR</w:t>
      </w:r>
      <w:r>
        <w:rPr>
          <w:sz w:val="24"/>
          <w:szCs w:val="24"/>
        </w:rPr>
        <w:t>………………………………………….17.355,95 zł.</w:t>
      </w:r>
    </w:p>
    <w:p w:rsidR="00883D1C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883D1C">
        <w:rPr>
          <w:sz w:val="24"/>
          <w:szCs w:val="24"/>
        </w:rPr>
        <w:t>imprezy i akcje promocyjne</w:t>
      </w:r>
      <w:r>
        <w:rPr>
          <w:sz w:val="24"/>
          <w:szCs w:val="24"/>
        </w:rPr>
        <w:t>……………………………………………………..4.500,00 zł.</w:t>
      </w:r>
    </w:p>
    <w:p w:rsidR="00883D1C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</w:rPr>
      </w:pPr>
      <w:r w:rsidRPr="00883D1C">
        <w:rPr>
          <w:sz w:val="24"/>
          <w:szCs w:val="24"/>
        </w:rPr>
        <w:t>szkolenia</w:t>
      </w:r>
      <w:r>
        <w:rPr>
          <w:sz w:val="24"/>
          <w:szCs w:val="24"/>
        </w:rPr>
        <w:t xml:space="preserve"> lokalnych liderów……………………………………………………15.739,00 zł.</w:t>
      </w:r>
    </w:p>
    <w:p w:rsidR="00883D1C" w:rsidRPr="00D84E31" w:rsidRDefault="00883D1C" w:rsidP="00C44E8A">
      <w:pPr>
        <w:pStyle w:val="Akapitzlist"/>
        <w:numPr>
          <w:ilvl w:val="0"/>
          <w:numId w:val="11"/>
        </w:numPr>
        <w:rPr>
          <w:sz w:val="24"/>
          <w:szCs w:val="24"/>
          <w:u w:val="single"/>
        </w:rPr>
      </w:pPr>
      <w:r w:rsidRPr="00D84E31">
        <w:rPr>
          <w:sz w:val="24"/>
          <w:szCs w:val="24"/>
          <w:u w:val="single"/>
        </w:rPr>
        <w:t>wyjazdy studyjne………………………………………………………………………5.020,00 zł.</w:t>
      </w:r>
    </w:p>
    <w:p w:rsidR="00ED4518" w:rsidRPr="00D84E31" w:rsidRDefault="00D84E31" w:rsidP="00ED4518">
      <w:pPr>
        <w:pStyle w:val="Akapitzlist"/>
        <w:ind w:left="1080"/>
        <w:rPr>
          <w:sz w:val="24"/>
          <w:szCs w:val="24"/>
        </w:rPr>
      </w:pPr>
      <w:r w:rsidRPr="00D84E31">
        <w:rPr>
          <w:sz w:val="24"/>
          <w:szCs w:val="24"/>
        </w:rPr>
        <w:tab/>
      </w:r>
      <w:r w:rsidRPr="00D84E31">
        <w:rPr>
          <w:sz w:val="24"/>
          <w:szCs w:val="24"/>
        </w:rPr>
        <w:tab/>
      </w:r>
      <w:r w:rsidRPr="00D84E31">
        <w:rPr>
          <w:sz w:val="24"/>
          <w:szCs w:val="24"/>
        </w:rPr>
        <w:tab/>
      </w:r>
      <w:r w:rsidRPr="00D84E31">
        <w:rPr>
          <w:sz w:val="24"/>
          <w:szCs w:val="24"/>
        </w:rPr>
        <w:tab/>
      </w:r>
      <w:r w:rsidRPr="00D84E31">
        <w:rPr>
          <w:sz w:val="24"/>
          <w:szCs w:val="24"/>
        </w:rPr>
        <w:tab/>
      </w:r>
      <w:r w:rsidRPr="00D84E31">
        <w:rPr>
          <w:sz w:val="24"/>
          <w:szCs w:val="24"/>
        </w:rPr>
        <w:tab/>
      </w:r>
      <w:r w:rsidRPr="00D84E31">
        <w:rPr>
          <w:sz w:val="24"/>
          <w:szCs w:val="24"/>
        </w:rPr>
        <w:tab/>
        <w:t>Razem:</w:t>
      </w:r>
      <w:r>
        <w:rPr>
          <w:sz w:val="24"/>
          <w:szCs w:val="24"/>
        </w:rPr>
        <w:t xml:space="preserve">                       </w:t>
      </w:r>
      <w:r w:rsidRPr="00D84E31">
        <w:rPr>
          <w:b/>
          <w:sz w:val="24"/>
          <w:szCs w:val="24"/>
        </w:rPr>
        <w:t>337.096,95 zł.</w:t>
      </w:r>
    </w:p>
    <w:p w:rsidR="00FA70F0" w:rsidRPr="005272F3" w:rsidRDefault="00FA70F0" w:rsidP="007F4126">
      <w:pPr>
        <w:pStyle w:val="Akapitzlist"/>
        <w:ind w:left="1065"/>
        <w:rPr>
          <w:b/>
          <w:sz w:val="24"/>
          <w:szCs w:val="24"/>
        </w:rPr>
      </w:pPr>
    </w:p>
    <w:p w:rsidR="00FA70F0" w:rsidRPr="005272F3" w:rsidRDefault="00FA70F0" w:rsidP="00FA70F0">
      <w:pPr>
        <w:pStyle w:val="Akapitzlist"/>
        <w:ind w:left="1065"/>
        <w:rPr>
          <w:b/>
          <w:sz w:val="24"/>
          <w:szCs w:val="24"/>
        </w:rPr>
      </w:pPr>
    </w:p>
    <w:p w:rsidR="00FA70F0" w:rsidRPr="005272F3" w:rsidRDefault="00FA70F0" w:rsidP="00FA70F0">
      <w:pPr>
        <w:pStyle w:val="Akapitzlist"/>
        <w:ind w:left="1065"/>
        <w:rPr>
          <w:b/>
          <w:sz w:val="24"/>
          <w:szCs w:val="24"/>
        </w:rPr>
      </w:pPr>
    </w:p>
    <w:sectPr w:rsidR="00FA70F0" w:rsidRPr="005272F3" w:rsidSect="00F45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3D5"/>
    <w:multiLevelType w:val="hybridMultilevel"/>
    <w:tmpl w:val="1E785CF8"/>
    <w:lvl w:ilvl="0" w:tplc="620CF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560A7"/>
    <w:multiLevelType w:val="hybridMultilevel"/>
    <w:tmpl w:val="968027AE"/>
    <w:lvl w:ilvl="0" w:tplc="AB98624C">
      <w:start w:val="2"/>
      <w:numFmt w:val="lowerLetter"/>
      <w:lvlText w:val="%1)"/>
      <w:lvlJc w:val="left"/>
      <w:pPr>
        <w:ind w:left="17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0996D62"/>
    <w:multiLevelType w:val="multilevel"/>
    <w:tmpl w:val="E1341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3B3AB8"/>
    <w:multiLevelType w:val="hybridMultilevel"/>
    <w:tmpl w:val="F522B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235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0D5456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AA82B3F"/>
    <w:multiLevelType w:val="hybridMultilevel"/>
    <w:tmpl w:val="CE761D9C"/>
    <w:lvl w:ilvl="0" w:tplc="FAE835EA">
      <w:start w:val="11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A056C"/>
    <w:multiLevelType w:val="hybridMultilevel"/>
    <w:tmpl w:val="53AAFEA0"/>
    <w:lvl w:ilvl="0" w:tplc="4C1ADD6E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687B76A0"/>
    <w:multiLevelType w:val="hybridMultilevel"/>
    <w:tmpl w:val="1E785CF8"/>
    <w:lvl w:ilvl="0" w:tplc="620CFA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33885"/>
    <w:multiLevelType w:val="hybridMultilevel"/>
    <w:tmpl w:val="37DE9202"/>
    <w:lvl w:ilvl="0" w:tplc="A5B6DE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7EC4050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10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639C"/>
    <w:rsid w:val="00117EBA"/>
    <w:rsid w:val="002944C6"/>
    <w:rsid w:val="002D2E4C"/>
    <w:rsid w:val="00394A4F"/>
    <w:rsid w:val="003D78D2"/>
    <w:rsid w:val="00422C78"/>
    <w:rsid w:val="004A2472"/>
    <w:rsid w:val="004B720C"/>
    <w:rsid w:val="005272F3"/>
    <w:rsid w:val="00534262"/>
    <w:rsid w:val="005F26B0"/>
    <w:rsid w:val="00643E74"/>
    <w:rsid w:val="00654D41"/>
    <w:rsid w:val="006F759E"/>
    <w:rsid w:val="00780C95"/>
    <w:rsid w:val="007A0D9D"/>
    <w:rsid w:val="007B639C"/>
    <w:rsid w:val="007F4126"/>
    <w:rsid w:val="00883D1C"/>
    <w:rsid w:val="00947154"/>
    <w:rsid w:val="00A40D44"/>
    <w:rsid w:val="00AC6C30"/>
    <w:rsid w:val="00C34201"/>
    <w:rsid w:val="00C44E8A"/>
    <w:rsid w:val="00CF0200"/>
    <w:rsid w:val="00D30F73"/>
    <w:rsid w:val="00D548D6"/>
    <w:rsid w:val="00D54AD6"/>
    <w:rsid w:val="00D84E31"/>
    <w:rsid w:val="00DD32B9"/>
    <w:rsid w:val="00E81459"/>
    <w:rsid w:val="00EA6274"/>
    <w:rsid w:val="00ED4518"/>
    <w:rsid w:val="00F453E5"/>
    <w:rsid w:val="00FA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639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272F3"/>
    <w:pPr>
      <w:spacing w:after="0" w:line="360" w:lineRule="auto"/>
      <w:ind w:left="78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272F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6</Pages>
  <Words>1770</Words>
  <Characters>10626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Agulek</cp:lastModifiedBy>
  <cp:revision>12</cp:revision>
  <cp:lastPrinted>2013-03-07T08:51:00Z</cp:lastPrinted>
  <dcterms:created xsi:type="dcterms:W3CDTF">2011-03-17T20:09:00Z</dcterms:created>
  <dcterms:modified xsi:type="dcterms:W3CDTF">2013-03-07T08:52:00Z</dcterms:modified>
</cp:coreProperties>
</file>